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52A71E" w14:textId="345F946F" w:rsidR="005529DB" w:rsidRDefault="005529DB" w:rsidP="00FF6DC1">
      <w:pPr>
        <w:rPr>
          <w:b/>
          <w:bCs/>
          <w:sz w:val="28"/>
          <w:szCs w:val="28"/>
        </w:rPr>
      </w:pPr>
      <w:bookmarkStart w:id="0" w:name="_GoBack"/>
      <w:bookmarkEnd w:id="0"/>
    </w:p>
    <w:p w14:paraId="1BC7F813" w14:textId="77777777" w:rsidR="00037616" w:rsidRDefault="00037616" w:rsidP="005529DB">
      <w:pPr>
        <w:rPr>
          <w:b/>
          <w:bCs/>
          <w:sz w:val="28"/>
          <w:szCs w:val="28"/>
        </w:rPr>
      </w:pPr>
    </w:p>
    <w:p w14:paraId="58C4287F" w14:textId="2652B74E" w:rsidR="00037616" w:rsidRPr="005529DB" w:rsidRDefault="00F85E1E" w:rsidP="00FF6DC1">
      <w:pPr>
        <w:jc w:val="center"/>
        <w:rPr>
          <w:b/>
          <w:bCs/>
          <w:color w:val="1F4E79" w:themeColor="accent5" w:themeShade="80"/>
          <w:sz w:val="44"/>
          <w:szCs w:val="44"/>
        </w:rPr>
      </w:pPr>
      <w:r w:rsidRPr="005529DB">
        <w:rPr>
          <w:rFonts w:hint="cs"/>
          <w:b/>
          <w:bCs/>
          <w:color w:val="1F4E79" w:themeColor="accent5" w:themeShade="80"/>
          <w:sz w:val="44"/>
          <w:szCs w:val="44"/>
        </w:rPr>
        <w:t>LA NUOVA GEOGRAFIA PRODUT</w:t>
      </w:r>
      <w:r w:rsidR="00846ACD" w:rsidRPr="005529DB">
        <w:rPr>
          <w:b/>
          <w:bCs/>
          <w:color w:val="1F4E79" w:themeColor="accent5" w:themeShade="80"/>
          <w:sz w:val="44"/>
          <w:szCs w:val="44"/>
        </w:rPr>
        <w:t>T</w:t>
      </w:r>
      <w:r w:rsidRPr="005529DB">
        <w:rPr>
          <w:rFonts w:hint="cs"/>
          <w:b/>
          <w:bCs/>
          <w:color w:val="1F4E79" w:themeColor="accent5" w:themeShade="80"/>
          <w:sz w:val="44"/>
          <w:szCs w:val="44"/>
        </w:rPr>
        <w:t xml:space="preserve">IVA DELL’ITALIA </w:t>
      </w:r>
      <w:r w:rsidR="00E10198">
        <w:rPr>
          <w:b/>
          <w:bCs/>
          <w:color w:val="1F4E79" w:themeColor="accent5" w:themeShade="80"/>
          <w:sz w:val="44"/>
          <w:szCs w:val="44"/>
        </w:rPr>
        <w:t xml:space="preserve">NEL BIENNIO DEL </w:t>
      </w:r>
      <w:r w:rsidRPr="005529DB">
        <w:rPr>
          <w:rFonts w:hint="cs"/>
          <w:b/>
          <w:bCs/>
          <w:color w:val="1F4E79" w:themeColor="accent5" w:themeShade="80"/>
          <w:sz w:val="44"/>
          <w:szCs w:val="44"/>
        </w:rPr>
        <w:t>COVID</w:t>
      </w:r>
      <w:r w:rsidR="00E10198">
        <w:rPr>
          <w:b/>
          <w:bCs/>
          <w:color w:val="1F4E79" w:themeColor="accent5" w:themeShade="80"/>
          <w:sz w:val="44"/>
          <w:szCs w:val="44"/>
        </w:rPr>
        <w:t xml:space="preserve"> (2020-2021)</w:t>
      </w:r>
    </w:p>
    <w:p w14:paraId="53EF36EE" w14:textId="24505F65" w:rsidR="00FF6DC1" w:rsidRDefault="00FF6DC1" w:rsidP="005529DB">
      <w:pPr>
        <w:rPr>
          <w:b/>
          <w:bCs/>
          <w:sz w:val="28"/>
          <w:szCs w:val="28"/>
        </w:rPr>
      </w:pPr>
    </w:p>
    <w:p w14:paraId="3A687890" w14:textId="77777777" w:rsidR="00FF6DC1" w:rsidRDefault="00FF6DC1" w:rsidP="00037616">
      <w:pPr>
        <w:jc w:val="center"/>
        <w:rPr>
          <w:b/>
          <w:bCs/>
          <w:sz w:val="28"/>
          <w:szCs w:val="28"/>
        </w:rPr>
      </w:pPr>
    </w:p>
    <w:p w14:paraId="0BB89901" w14:textId="64EE2116" w:rsidR="00037616" w:rsidRDefault="00427CD2" w:rsidP="00037616">
      <w:pPr>
        <w:jc w:val="center"/>
        <w:rPr>
          <w:b/>
          <w:bCs/>
          <w:sz w:val="28"/>
          <w:szCs w:val="28"/>
        </w:rPr>
      </w:pPr>
      <w:r>
        <w:rPr>
          <w:noProof/>
          <w:lang w:eastAsia="it-IT"/>
        </w:rPr>
        <w:drawing>
          <wp:inline distT="0" distB="0" distL="0" distR="0" wp14:anchorId="1E782FF2" wp14:editId="27FA43F8">
            <wp:extent cx="6120130" cy="4399915"/>
            <wp:effectExtent l="0" t="0" r="0" b="63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4399915"/>
                    </a:xfrm>
                    <a:prstGeom prst="rect">
                      <a:avLst/>
                    </a:prstGeom>
                  </pic:spPr>
                </pic:pic>
              </a:graphicData>
            </a:graphic>
          </wp:inline>
        </w:drawing>
      </w:r>
    </w:p>
    <w:p w14:paraId="7E1D9B4E" w14:textId="3A0DFC64" w:rsidR="00037616" w:rsidRDefault="00037616" w:rsidP="00037616">
      <w:pPr>
        <w:jc w:val="center"/>
        <w:rPr>
          <w:b/>
          <w:bCs/>
          <w:sz w:val="28"/>
          <w:szCs w:val="28"/>
        </w:rPr>
      </w:pPr>
    </w:p>
    <w:p w14:paraId="459852A8" w14:textId="689A902E" w:rsidR="00037616" w:rsidRDefault="00037616" w:rsidP="00037616">
      <w:pPr>
        <w:jc w:val="center"/>
        <w:rPr>
          <w:b/>
          <w:bCs/>
          <w:sz w:val="28"/>
          <w:szCs w:val="28"/>
        </w:rPr>
      </w:pPr>
    </w:p>
    <w:p w14:paraId="0C9A3152" w14:textId="1262CCE4" w:rsidR="005529DB" w:rsidRDefault="005529DB" w:rsidP="00037616">
      <w:pPr>
        <w:jc w:val="center"/>
        <w:rPr>
          <w:b/>
          <w:bCs/>
          <w:sz w:val="28"/>
          <w:szCs w:val="28"/>
        </w:rPr>
      </w:pPr>
    </w:p>
    <w:p w14:paraId="399B4607" w14:textId="77777777" w:rsidR="005529DB" w:rsidRDefault="005529DB" w:rsidP="00037616">
      <w:pPr>
        <w:jc w:val="center"/>
        <w:rPr>
          <w:b/>
          <w:bCs/>
          <w:sz w:val="28"/>
          <w:szCs w:val="28"/>
        </w:rPr>
      </w:pPr>
    </w:p>
    <w:p w14:paraId="092DACF5" w14:textId="77777777" w:rsidR="005529DB" w:rsidRDefault="005529DB" w:rsidP="00037616">
      <w:pPr>
        <w:jc w:val="center"/>
        <w:rPr>
          <w:b/>
          <w:bCs/>
          <w:sz w:val="28"/>
          <w:szCs w:val="28"/>
        </w:rPr>
      </w:pPr>
    </w:p>
    <w:p w14:paraId="48135B2A" w14:textId="6AC3630A" w:rsidR="00037616" w:rsidRDefault="00037616" w:rsidP="00037616">
      <w:pPr>
        <w:jc w:val="center"/>
        <w:rPr>
          <w:b/>
          <w:bCs/>
          <w:sz w:val="28"/>
          <w:szCs w:val="2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3"/>
        <w:gridCol w:w="5691"/>
      </w:tblGrid>
      <w:tr w:rsidR="005529DB" w14:paraId="573201FA" w14:textId="77777777" w:rsidTr="009012C8">
        <w:tc>
          <w:tcPr>
            <w:tcW w:w="4163" w:type="dxa"/>
          </w:tcPr>
          <w:p w14:paraId="72D1EF44" w14:textId="77777777" w:rsidR="005529DB" w:rsidRDefault="005529DB" w:rsidP="009012C8">
            <w:pPr>
              <w:rPr>
                <w:b/>
                <w:bCs/>
                <w:sz w:val="28"/>
                <w:szCs w:val="28"/>
              </w:rPr>
            </w:pPr>
            <w:r>
              <w:rPr>
                <w:noProof/>
                <w:lang w:eastAsia="it-IT"/>
              </w:rPr>
              <w:drawing>
                <wp:inline distT="0" distB="0" distL="0" distR="0" wp14:anchorId="3482C3B0" wp14:editId="179A180C">
                  <wp:extent cx="1876425" cy="440960"/>
                  <wp:effectExtent l="0" t="0" r="0" b="0"/>
                  <wp:docPr id="16" name="Immagine 16" descr="Unioncam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ioncame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9578" cy="444051"/>
                          </a:xfrm>
                          <a:prstGeom prst="rect">
                            <a:avLst/>
                          </a:prstGeom>
                          <a:noFill/>
                          <a:ln>
                            <a:noFill/>
                          </a:ln>
                        </pic:spPr>
                      </pic:pic>
                    </a:graphicData>
                  </a:graphic>
                </wp:inline>
              </w:drawing>
            </w:r>
          </w:p>
        </w:tc>
        <w:tc>
          <w:tcPr>
            <w:tcW w:w="5691" w:type="dxa"/>
          </w:tcPr>
          <w:p w14:paraId="7AD4F7C4" w14:textId="77777777" w:rsidR="005529DB" w:rsidRDefault="005529DB" w:rsidP="009012C8">
            <w:pPr>
              <w:jc w:val="right"/>
              <w:rPr>
                <w:b/>
                <w:bCs/>
                <w:sz w:val="28"/>
                <w:szCs w:val="28"/>
              </w:rPr>
            </w:pPr>
            <w:r>
              <w:rPr>
                <w:noProof/>
                <w:lang w:eastAsia="it-IT"/>
              </w:rPr>
              <w:drawing>
                <wp:inline distT="0" distB="0" distL="0" distR="0" wp14:anchorId="0D99476C" wp14:editId="4C55C384">
                  <wp:extent cx="2571750" cy="436845"/>
                  <wp:effectExtent l="0" t="0" r="0" b="0"/>
                  <wp:docPr id="17" name="Immagine 17" descr="Centro Studi delle Camere di commercio Guglielmo Tagliacarne s.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entro Studi delle Camere di commercio Guglielmo Tagliacarne s.r.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3839" cy="440597"/>
                          </a:xfrm>
                          <a:prstGeom prst="rect">
                            <a:avLst/>
                          </a:prstGeom>
                          <a:noFill/>
                          <a:ln>
                            <a:noFill/>
                          </a:ln>
                        </pic:spPr>
                      </pic:pic>
                    </a:graphicData>
                  </a:graphic>
                </wp:inline>
              </w:drawing>
            </w:r>
          </w:p>
        </w:tc>
      </w:tr>
    </w:tbl>
    <w:p w14:paraId="2632A123" w14:textId="14AEB445" w:rsidR="00037616" w:rsidRDefault="00037616" w:rsidP="00037616">
      <w:pPr>
        <w:jc w:val="center"/>
        <w:rPr>
          <w:b/>
          <w:bCs/>
          <w:sz w:val="28"/>
          <w:szCs w:val="28"/>
        </w:rPr>
      </w:pPr>
    </w:p>
    <w:p w14:paraId="0D46840D" w14:textId="6544970D" w:rsidR="00B0574A" w:rsidRDefault="00B0574A" w:rsidP="00037616">
      <w:pPr>
        <w:jc w:val="center"/>
        <w:rPr>
          <w:b/>
          <w:bCs/>
          <w:sz w:val="28"/>
          <w:szCs w:val="28"/>
        </w:rPr>
      </w:pPr>
    </w:p>
    <w:p w14:paraId="1363ADA2" w14:textId="7208E682" w:rsidR="00B0574A" w:rsidRDefault="00B0574A" w:rsidP="00037616">
      <w:pPr>
        <w:jc w:val="center"/>
        <w:rPr>
          <w:b/>
          <w:bCs/>
          <w:sz w:val="28"/>
          <w:szCs w:val="28"/>
        </w:rPr>
      </w:pPr>
    </w:p>
    <w:p w14:paraId="5A7FEE14" w14:textId="78DD61FC" w:rsidR="00B0574A" w:rsidRDefault="00B0574A" w:rsidP="00037616">
      <w:pPr>
        <w:jc w:val="center"/>
        <w:rPr>
          <w:b/>
          <w:bCs/>
          <w:sz w:val="28"/>
          <w:szCs w:val="28"/>
        </w:rPr>
      </w:pPr>
    </w:p>
    <w:p w14:paraId="6004EFE4" w14:textId="77777777" w:rsidR="00B0574A" w:rsidRDefault="00B0574A" w:rsidP="00037616">
      <w:pPr>
        <w:jc w:val="center"/>
        <w:rPr>
          <w:b/>
          <w:bCs/>
          <w:sz w:val="28"/>
          <w:szCs w:val="28"/>
        </w:rPr>
      </w:pPr>
    </w:p>
    <w:p w14:paraId="4CA0938E" w14:textId="77777777" w:rsidR="00037616" w:rsidRDefault="00037616" w:rsidP="00037616">
      <w:pPr>
        <w:jc w:val="center"/>
        <w:rPr>
          <w:b/>
          <w:bCs/>
          <w:sz w:val="28"/>
          <w:szCs w:val="28"/>
        </w:rPr>
      </w:pPr>
    </w:p>
    <w:p w14:paraId="6ACCF1B9" w14:textId="77777777" w:rsidR="00037616" w:rsidRDefault="00037616" w:rsidP="00037616">
      <w:pPr>
        <w:jc w:val="center"/>
        <w:rPr>
          <w:b/>
          <w:bCs/>
          <w:sz w:val="28"/>
          <w:szCs w:val="28"/>
        </w:rPr>
      </w:pPr>
    </w:p>
    <w:p w14:paraId="6701921B" w14:textId="45C88E75" w:rsidR="007C3E36" w:rsidRDefault="007C3E36" w:rsidP="00037616">
      <w:pPr>
        <w:rPr>
          <w:b/>
          <w:bCs/>
          <w:sz w:val="28"/>
          <w:szCs w:val="28"/>
        </w:rPr>
      </w:pPr>
      <w:r>
        <w:rPr>
          <w:b/>
          <w:bCs/>
          <w:sz w:val="28"/>
          <w:szCs w:val="28"/>
        </w:rPr>
        <w:br w:type="page"/>
      </w:r>
    </w:p>
    <w:p w14:paraId="1477F855" w14:textId="7FB2F2DC" w:rsidR="007C3E36" w:rsidRPr="00B0574A" w:rsidRDefault="007C3E36" w:rsidP="007C3E36">
      <w:pPr>
        <w:jc w:val="center"/>
        <w:rPr>
          <w:b/>
          <w:bCs/>
          <w:sz w:val="28"/>
          <w:szCs w:val="28"/>
        </w:rPr>
      </w:pPr>
      <w:r w:rsidRPr="00B0574A">
        <w:rPr>
          <w:b/>
          <w:bCs/>
          <w:sz w:val="28"/>
          <w:szCs w:val="28"/>
        </w:rPr>
        <w:lastRenderedPageBreak/>
        <w:t>INDICE</w:t>
      </w:r>
    </w:p>
    <w:sdt>
      <w:sdtPr>
        <w:rPr>
          <w:rFonts w:asciiTheme="minorHAnsi" w:eastAsiaTheme="minorHAnsi" w:hAnsiTheme="minorHAnsi" w:cstheme="minorBidi"/>
          <w:color w:val="auto"/>
          <w:sz w:val="22"/>
          <w:szCs w:val="22"/>
          <w:lang w:eastAsia="en-US"/>
        </w:rPr>
        <w:id w:val="807202115"/>
        <w:docPartObj>
          <w:docPartGallery w:val="Table of Contents"/>
          <w:docPartUnique/>
        </w:docPartObj>
      </w:sdtPr>
      <w:sdtEndPr>
        <w:rPr>
          <w:b/>
          <w:bCs/>
        </w:rPr>
      </w:sdtEndPr>
      <w:sdtContent>
        <w:p w14:paraId="3865EE09" w14:textId="477FA590" w:rsidR="00037616" w:rsidRDefault="00037616" w:rsidP="00B0574A">
          <w:pPr>
            <w:pStyle w:val="Titolosommario"/>
            <w:numPr>
              <w:ilvl w:val="0"/>
              <w:numId w:val="0"/>
            </w:numPr>
          </w:pPr>
        </w:p>
        <w:p w14:paraId="25810452" w14:textId="7BA8435A" w:rsidR="00B0574A" w:rsidRPr="00B0574A" w:rsidRDefault="00037616">
          <w:pPr>
            <w:pStyle w:val="Sommario1"/>
            <w:tabs>
              <w:tab w:val="left" w:pos="440"/>
              <w:tab w:val="right" w:leader="dot" w:pos="9628"/>
            </w:tabs>
            <w:rPr>
              <w:rFonts w:eastAsiaTheme="minorEastAsia"/>
              <w:b/>
              <w:bCs/>
              <w:noProof/>
              <w:sz w:val="28"/>
              <w:szCs w:val="28"/>
              <w:lang w:eastAsia="it-IT"/>
            </w:rPr>
          </w:pPr>
          <w:r>
            <w:fldChar w:fldCharType="begin"/>
          </w:r>
          <w:r>
            <w:instrText xml:space="preserve"> TOC \o "1-3" \h \z \u </w:instrText>
          </w:r>
          <w:r>
            <w:fldChar w:fldCharType="separate"/>
          </w:r>
          <w:hyperlink w:anchor="_Toc113528109" w:history="1">
            <w:r w:rsidR="00B0574A" w:rsidRPr="00B0574A">
              <w:rPr>
                <w:rStyle w:val="Collegamentoipertestuale"/>
                <w:rFonts w:cstheme="minorHAnsi"/>
                <w:b/>
                <w:bCs/>
                <w:noProof/>
                <w:sz w:val="28"/>
                <w:szCs w:val="28"/>
              </w:rPr>
              <w:t>1.</w:t>
            </w:r>
            <w:r w:rsidR="00B0574A" w:rsidRPr="00B0574A">
              <w:rPr>
                <w:rFonts w:eastAsiaTheme="minorEastAsia"/>
                <w:b/>
                <w:bCs/>
                <w:noProof/>
                <w:sz w:val="28"/>
                <w:szCs w:val="28"/>
                <w:lang w:eastAsia="it-IT"/>
              </w:rPr>
              <w:tab/>
            </w:r>
            <w:r w:rsidR="00B0574A" w:rsidRPr="00B0574A">
              <w:rPr>
                <w:rStyle w:val="Collegamentoipertestuale"/>
                <w:rFonts w:cstheme="minorHAnsi"/>
                <w:b/>
                <w:bCs/>
                <w:noProof/>
                <w:sz w:val="28"/>
                <w:szCs w:val="28"/>
              </w:rPr>
              <w:t>Le dinamiche territoriali nel 2021</w:t>
            </w:r>
            <w:r w:rsidR="00B0574A" w:rsidRPr="00B0574A">
              <w:rPr>
                <w:b/>
                <w:bCs/>
                <w:noProof/>
                <w:webHidden/>
                <w:sz w:val="28"/>
                <w:szCs w:val="28"/>
              </w:rPr>
              <w:tab/>
            </w:r>
            <w:r w:rsidR="00B0574A" w:rsidRPr="00B0574A">
              <w:rPr>
                <w:b/>
                <w:bCs/>
                <w:noProof/>
                <w:webHidden/>
                <w:sz w:val="28"/>
                <w:szCs w:val="28"/>
              </w:rPr>
              <w:fldChar w:fldCharType="begin"/>
            </w:r>
            <w:r w:rsidR="00B0574A" w:rsidRPr="00B0574A">
              <w:rPr>
                <w:b/>
                <w:bCs/>
                <w:noProof/>
                <w:webHidden/>
                <w:sz w:val="28"/>
                <w:szCs w:val="28"/>
              </w:rPr>
              <w:instrText xml:space="preserve"> PAGEREF _Toc113528109 \h </w:instrText>
            </w:r>
            <w:r w:rsidR="00B0574A" w:rsidRPr="00B0574A">
              <w:rPr>
                <w:b/>
                <w:bCs/>
                <w:noProof/>
                <w:webHidden/>
                <w:sz w:val="28"/>
                <w:szCs w:val="28"/>
              </w:rPr>
            </w:r>
            <w:r w:rsidR="00B0574A" w:rsidRPr="00B0574A">
              <w:rPr>
                <w:b/>
                <w:bCs/>
                <w:noProof/>
                <w:webHidden/>
                <w:sz w:val="28"/>
                <w:szCs w:val="28"/>
              </w:rPr>
              <w:fldChar w:fldCharType="separate"/>
            </w:r>
            <w:r w:rsidR="00652BF3">
              <w:rPr>
                <w:b/>
                <w:bCs/>
                <w:noProof/>
                <w:webHidden/>
                <w:sz w:val="28"/>
                <w:szCs w:val="28"/>
              </w:rPr>
              <w:t>4</w:t>
            </w:r>
            <w:r w:rsidR="00B0574A" w:rsidRPr="00B0574A">
              <w:rPr>
                <w:b/>
                <w:bCs/>
                <w:noProof/>
                <w:webHidden/>
                <w:sz w:val="28"/>
                <w:szCs w:val="28"/>
              </w:rPr>
              <w:fldChar w:fldCharType="end"/>
            </w:r>
          </w:hyperlink>
        </w:p>
        <w:p w14:paraId="618F7D07" w14:textId="0CA3C440" w:rsidR="00B0574A" w:rsidRPr="00B0574A" w:rsidRDefault="00244E9D">
          <w:pPr>
            <w:pStyle w:val="Sommario1"/>
            <w:tabs>
              <w:tab w:val="left" w:pos="440"/>
              <w:tab w:val="right" w:leader="dot" w:pos="9628"/>
            </w:tabs>
            <w:rPr>
              <w:rFonts w:eastAsiaTheme="minorEastAsia"/>
              <w:b/>
              <w:bCs/>
              <w:noProof/>
              <w:sz w:val="28"/>
              <w:szCs w:val="28"/>
              <w:lang w:eastAsia="it-IT"/>
            </w:rPr>
          </w:pPr>
          <w:hyperlink w:anchor="_Toc113528110" w:history="1">
            <w:r w:rsidR="00B0574A" w:rsidRPr="00B0574A">
              <w:rPr>
                <w:rStyle w:val="Collegamentoipertestuale"/>
                <w:rFonts w:cstheme="minorHAnsi"/>
                <w:b/>
                <w:bCs/>
                <w:noProof/>
                <w:sz w:val="28"/>
                <w:szCs w:val="28"/>
              </w:rPr>
              <w:t>2.</w:t>
            </w:r>
            <w:r w:rsidR="00B0574A" w:rsidRPr="00B0574A">
              <w:rPr>
                <w:rFonts w:eastAsiaTheme="minorEastAsia"/>
                <w:b/>
                <w:bCs/>
                <w:noProof/>
                <w:sz w:val="28"/>
                <w:szCs w:val="28"/>
                <w:lang w:eastAsia="it-IT"/>
              </w:rPr>
              <w:tab/>
            </w:r>
            <w:r w:rsidR="00B0574A" w:rsidRPr="00B0574A">
              <w:rPr>
                <w:rStyle w:val="Collegamentoipertestuale"/>
                <w:rFonts w:cstheme="minorHAnsi"/>
                <w:b/>
                <w:bCs/>
                <w:noProof/>
                <w:sz w:val="28"/>
                <w:szCs w:val="28"/>
              </w:rPr>
              <w:t>Il percorso di recupero: il confronto con il 2019</w:t>
            </w:r>
            <w:r w:rsidR="00B0574A" w:rsidRPr="00B0574A">
              <w:rPr>
                <w:b/>
                <w:bCs/>
                <w:noProof/>
                <w:webHidden/>
                <w:sz w:val="28"/>
                <w:szCs w:val="28"/>
              </w:rPr>
              <w:tab/>
            </w:r>
            <w:r w:rsidR="00B0574A" w:rsidRPr="00B0574A">
              <w:rPr>
                <w:b/>
                <w:bCs/>
                <w:noProof/>
                <w:webHidden/>
                <w:sz w:val="28"/>
                <w:szCs w:val="28"/>
              </w:rPr>
              <w:fldChar w:fldCharType="begin"/>
            </w:r>
            <w:r w:rsidR="00B0574A" w:rsidRPr="00B0574A">
              <w:rPr>
                <w:b/>
                <w:bCs/>
                <w:noProof/>
                <w:webHidden/>
                <w:sz w:val="28"/>
                <w:szCs w:val="28"/>
              </w:rPr>
              <w:instrText xml:space="preserve"> PAGEREF _Toc113528110 \h </w:instrText>
            </w:r>
            <w:r w:rsidR="00B0574A" w:rsidRPr="00B0574A">
              <w:rPr>
                <w:b/>
                <w:bCs/>
                <w:noProof/>
                <w:webHidden/>
                <w:sz w:val="28"/>
                <w:szCs w:val="28"/>
              </w:rPr>
            </w:r>
            <w:r w:rsidR="00B0574A" w:rsidRPr="00B0574A">
              <w:rPr>
                <w:b/>
                <w:bCs/>
                <w:noProof/>
                <w:webHidden/>
                <w:sz w:val="28"/>
                <w:szCs w:val="28"/>
              </w:rPr>
              <w:fldChar w:fldCharType="separate"/>
            </w:r>
            <w:r w:rsidR="00652BF3">
              <w:rPr>
                <w:b/>
                <w:bCs/>
                <w:noProof/>
                <w:webHidden/>
                <w:sz w:val="28"/>
                <w:szCs w:val="28"/>
              </w:rPr>
              <w:t>5</w:t>
            </w:r>
            <w:r w:rsidR="00B0574A" w:rsidRPr="00B0574A">
              <w:rPr>
                <w:b/>
                <w:bCs/>
                <w:noProof/>
                <w:webHidden/>
                <w:sz w:val="28"/>
                <w:szCs w:val="28"/>
              </w:rPr>
              <w:fldChar w:fldCharType="end"/>
            </w:r>
          </w:hyperlink>
        </w:p>
        <w:p w14:paraId="58BC5B12" w14:textId="51F97211" w:rsidR="00B0574A" w:rsidRPr="00B0574A" w:rsidRDefault="00244E9D">
          <w:pPr>
            <w:pStyle w:val="Sommario1"/>
            <w:tabs>
              <w:tab w:val="left" w:pos="440"/>
              <w:tab w:val="right" w:leader="dot" w:pos="9628"/>
            </w:tabs>
            <w:rPr>
              <w:rFonts w:eastAsiaTheme="minorEastAsia"/>
              <w:b/>
              <w:bCs/>
              <w:noProof/>
              <w:sz w:val="28"/>
              <w:szCs w:val="28"/>
              <w:lang w:eastAsia="it-IT"/>
            </w:rPr>
          </w:pPr>
          <w:hyperlink w:anchor="_Toc113528111" w:history="1">
            <w:r w:rsidR="00B0574A" w:rsidRPr="00B0574A">
              <w:rPr>
                <w:rStyle w:val="Collegamentoipertestuale"/>
                <w:rFonts w:cstheme="minorHAnsi"/>
                <w:b/>
                <w:bCs/>
                <w:noProof/>
                <w:sz w:val="28"/>
                <w:szCs w:val="28"/>
              </w:rPr>
              <w:t>3.</w:t>
            </w:r>
            <w:r w:rsidR="00B0574A" w:rsidRPr="00B0574A">
              <w:rPr>
                <w:rFonts w:eastAsiaTheme="minorEastAsia"/>
                <w:b/>
                <w:bCs/>
                <w:noProof/>
                <w:sz w:val="28"/>
                <w:szCs w:val="28"/>
                <w:lang w:eastAsia="it-IT"/>
              </w:rPr>
              <w:tab/>
            </w:r>
            <w:r w:rsidR="00B0574A" w:rsidRPr="00B0574A">
              <w:rPr>
                <w:rStyle w:val="Collegamentoipertestuale"/>
                <w:rFonts w:cstheme="minorHAnsi"/>
                <w:b/>
                <w:bCs/>
                <w:noProof/>
                <w:sz w:val="28"/>
                <w:szCs w:val="28"/>
              </w:rPr>
              <w:t>Il bilancio dei settori di attività</w:t>
            </w:r>
            <w:r w:rsidR="00B0574A" w:rsidRPr="00B0574A">
              <w:rPr>
                <w:b/>
                <w:bCs/>
                <w:noProof/>
                <w:webHidden/>
                <w:sz w:val="28"/>
                <w:szCs w:val="28"/>
              </w:rPr>
              <w:tab/>
            </w:r>
            <w:r w:rsidR="00B0574A" w:rsidRPr="00B0574A">
              <w:rPr>
                <w:b/>
                <w:bCs/>
                <w:noProof/>
                <w:webHidden/>
                <w:sz w:val="28"/>
                <w:szCs w:val="28"/>
              </w:rPr>
              <w:fldChar w:fldCharType="begin"/>
            </w:r>
            <w:r w:rsidR="00B0574A" w:rsidRPr="00B0574A">
              <w:rPr>
                <w:b/>
                <w:bCs/>
                <w:noProof/>
                <w:webHidden/>
                <w:sz w:val="28"/>
                <w:szCs w:val="28"/>
              </w:rPr>
              <w:instrText xml:space="preserve"> PAGEREF _Toc113528111 \h </w:instrText>
            </w:r>
            <w:r w:rsidR="00B0574A" w:rsidRPr="00B0574A">
              <w:rPr>
                <w:b/>
                <w:bCs/>
                <w:noProof/>
                <w:webHidden/>
                <w:sz w:val="28"/>
                <w:szCs w:val="28"/>
              </w:rPr>
            </w:r>
            <w:r w:rsidR="00B0574A" w:rsidRPr="00B0574A">
              <w:rPr>
                <w:b/>
                <w:bCs/>
                <w:noProof/>
                <w:webHidden/>
                <w:sz w:val="28"/>
                <w:szCs w:val="28"/>
              </w:rPr>
              <w:fldChar w:fldCharType="separate"/>
            </w:r>
            <w:r w:rsidR="00652BF3">
              <w:rPr>
                <w:b/>
                <w:bCs/>
                <w:noProof/>
                <w:webHidden/>
                <w:sz w:val="28"/>
                <w:szCs w:val="28"/>
              </w:rPr>
              <w:t>9</w:t>
            </w:r>
            <w:r w:rsidR="00B0574A" w:rsidRPr="00B0574A">
              <w:rPr>
                <w:b/>
                <w:bCs/>
                <w:noProof/>
                <w:webHidden/>
                <w:sz w:val="28"/>
                <w:szCs w:val="28"/>
              </w:rPr>
              <w:fldChar w:fldCharType="end"/>
            </w:r>
          </w:hyperlink>
        </w:p>
        <w:p w14:paraId="4CFEA019" w14:textId="50C7A459" w:rsidR="00B0574A" w:rsidRPr="00B0574A" w:rsidRDefault="00244E9D">
          <w:pPr>
            <w:pStyle w:val="Sommario1"/>
            <w:tabs>
              <w:tab w:val="left" w:pos="660"/>
              <w:tab w:val="right" w:leader="dot" w:pos="9628"/>
            </w:tabs>
            <w:rPr>
              <w:rFonts w:eastAsiaTheme="minorEastAsia"/>
              <w:b/>
              <w:bCs/>
              <w:noProof/>
              <w:sz w:val="28"/>
              <w:szCs w:val="28"/>
              <w:lang w:eastAsia="it-IT"/>
            </w:rPr>
          </w:pPr>
          <w:hyperlink w:anchor="_Toc113528115" w:history="1">
            <w:r w:rsidR="00B0574A" w:rsidRPr="00B0574A">
              <w:rPr>
                <w:rStyle w:val="Collegamentoipertestuale"/>
                <w:rFonts w:cstheme="minorHAnsi"/>
                <w:b/>
                <w:bCs/>
                <w:noProof/>
                <w:sz w:val="28"/>
                <w:szCs w:val="28"/>
              </w:rPr>
              <w:t>3.1.</w:t>
            </w:r>
            <w:r w:rsidR="00B0574A" w:rsidRPr="00B0574A">
              <w:rPr>
                <w:rFonts w:eastAsiaTheme="minorEastAsia"/>
                <w:b/>
                <w:bCs/>
                <w:noProof/>
                <w:sz w:val="28"/>
                <w:szCs w:val="28"/>
                <w:lang w:eastAsia="it-IT"/>
              </w:rPr>
              <w:tab/>
            </w:r>
            <w:r w:rsidR="00B0574A" w:rsidRPr="00B0574A">
              <w:rPr>
                <w:rStyle w:val="Collegamentoipertestuale"/>
                <w:rFonts w:cstheme="minorHAnsi"/>
                <w:b/>
                <w:bCs/>
                <w:noProof/>
                <w:sz w:val="28"/>
                <w:szCs w:val="28"/>
              </w:rPr>
              <w:t>L’agricoltura</w:t>
            </w:r>
            <w:r w:rsidR="00B0574A" w:rsidRPr="00B0574A">
              <w:rPr>
                <w:b/>
                <w:bCs/>
                <w:noProof/>
                <w:webHidden/>
                <w:sz w:val="28"/>
                <w:szCs w:val="28"/>
              </w:rPr>
              <w:tab/>
            </w:r>
            <w:r w:rsidR="00B0574A" w:rsidRPr="00B0574A">
              <w:rPr>
                <w:b/>
                <w:bCs/>
                <w:noProof/>
                <w:webHidden/>
                <w:sz w:val="28"/>
                <w:szCs w:val="28"/>
              </w:rPr>
              <w:fldChar w:fldCharType="begin"/>
            </w:r>
            <w:r w:rsidR="00B0574A" w:rsidRPr="00B0574A">
              <w:rPr>
                <w:b/>
                <w:bCs/>
                <w:noProof/>
                <w:webHidden/>
                <w:sz w:val="28"/>
                <w:szCs w:val="28"/>
              </w:rPr>
              <w:instrText xml:space="preserve"> PAGEREF _Toc113528115 \h </w:instrText>
            </w:r>
            <w:r w:rsidR="00B0574A" w:rsidRPr="00B0574A">
              <w:rPr>
                <w:b/>
                <w:bCs/>
                <w:noProof/>
                <w:webHidden/>
                <w:sz w:val="28"/>
                <w:szCs w:val="28"/>
              </w:rPr>
            </w:r>
            <w:r w:rsidR="00B0574A" w:rsidRPr="00B0574A">
              <w:rPr>
                <w:b/>
                <w:bCs/>
                <w:noProof/>
                <w:webHidden/>
                <w:sz w:val="28"/>
                <w:szCs w:val="28"/>
              </w:rPr>
              <w:fldChar w:fldCharType="separate"/>
            </w:r>
            <w:r w:rsidR="00652BF3">
              <w:rPr>
                <w:b/>
                <w:bCs/>
                <w:noProof/>
                <w:webHidden/>
                <w:sz w:val="28"/>
                <w:szCs w:val="28"/>
              </w:rPr>
              <w:t>9</w:t>
            </w:r>
            <w:r w:rsidR="00B0574A" w:rsidRPr="00B0574A">
              <w:rPr>
                <w:b/>
                <w:bCs/>
                <w:noProof/>
                <w:webHidden/>
                <w:sz w:val="28"/>
                <w:szCs w:val="28"/>
              </w:rPr>
              <w:fldChar w:fldCharType="end"/>
            </w:r>
          </w:hyperlink>
        </w:p>
        <w:p w14:paraId="5F50C1C3" w14:textId="01F54FE5" w:rsidR="00B0574A" w:rsidRPr="00B0574A" w:rsidRDefault="00244E9D">
          <w:pPr>
            <w:pStyle w:val="Sommario1"/>
            <w:tabs>
              <w:tab w:val="left" w:pos="660"/>
              <w:tab w:val="right" w:leader="dot" w:pos="9628"/>
            </w:tabs>
            <w:rPr>
              <w:rFonts w:eastAsiaTheme="minorEastAsia"/>
              <w:b/>
              <w:bCs/>
              <w:noProof/>
              <w:sz w:val="28"/>
              <w:szCs w:val="28"/>
              <w:lang w:eastAsia="it-IT"/>
            </w:rPr>
          </w:pPr>
          <w:hyperlink w:anchor="_Toc113528116" w:history="1">
            <w:r w:rsidR="00B0574A" w:rsidRPr="00B0574A">
              <w:rPr>
                <w:rStyle w:val="Collegamentoipertestuale"/>
                <w:rFonts w:cstheme="minorHAnsi"/>
                <w:b/>
                <w:bCs/>
                <w:noProof/>
                <w:sz w:val="28"/>
                <w:szCs w:val="28"/>
              </w:rPr>
              <w:t>3.2.</w:t>
            </w:r>
            <w:r w:rsidR="00B0574A" w:rsidRPr="00B0574A">
              <w:rPr>
                <w:rFonts w:eastAsiaTheme="minorEastAsia"/>
                <w:b/>
                <w:bCs/>
                <w:noProof/>
                <w:sz w:val="28"/>
                <w:szCs w:val="28"/>
                <w:lang w:eastAsia="it-IT"/>
              </w:rPr>
              <w:tab/>
            </w:r>
            <w:r w:rsidR="00B0574A" w:rsidRPr="00B0574A">
              <w:rPr>
                <w:rStyle w:val="Collegamentoipertestuale"/>
                <w:rFonts w:cstheme="minorHAnsi"/>
                <w:b/>
                <w:bCs/>
                <w:noProof/>
                <w:sz w:val="28"/>
                <w:szCs w:val="28"/>
              </w:rPr>
              <w:t>L’industria in senso stretto</w:t>
            </w:r>
            <w:r w:rsidR="00B0574A" w:rsidRPr="00B0574A">
              <w:rPr>
                <w:b/>
                <w:bCs/>
                <w:noProof/>
                <w:webHidden/>
                <w:sz w:val="28"/>
                <w:szCs w:val="28"/>
              </w:rPr>
              <w:tab/>
            </w:r>
            <w:r w:rsidR="00B0574A" w:rsidRPr="00B0574A">
              <w:rPr>
                <w:b/>
                <w:bCs/>
                <w:noProof/>
                <w:webHidden/>
                <w:sz w:val="28"/>
                <w:szCs w:val="28"/>
              </w:rPr>
              <w:fldChar w:fldCharType="begin"/>
            </w:r>
            <w:r w:rsidR="00B0574A" w:rsidRPr="00B0574A">
              <w:rPr>
                <w:b/>
                <w:bCs/>
                <w:noProof/>
                <w:webHidden/>
                <w:sz w:val="28"/>
                <w:szCs w:val="28"/>
              </w:rPr>
              <w:instrText xml:space="preserve"> PAGEREF _Toc113528116 \h </w:instrText>
            </w:r>
            <w:r w:rsidR="00B0574A" w:rsidRPr="00B0574A">
              <w:rPr>
                <w:b/>
                <w:bCs/>
                <w:noProof/>
                <w:webHidden/>
                <w:sz w:val="28"/>
                <w:szCs w:val="28"/>
              </w:rPr>
            </w:r>
            <w:r w:rsidR="00B0574A" w:rsidRPr="00B0574A">
              <w:rPr>
                <w:b/>
                <w:bCs/>
                <w:noProof/>
                <w:webHidden/>
                <w:sz w:val="28"/>
                <w:szCs w:val="28"/>
              </w:rPr>
              <w:fldChar w:fldCharType="separate"/>
            </w:r>
            <w:r w:rsidR="00652BF3">
              <w:rPr>
                <w:b/>
                <w:bCs/>
                <w:noProof/>
                <w:webHidden/>
                <w:sz w:val="28"/>
                <w:szCs w:val="28"/>
              </w:rPr>
              <w:t>10</w:t>
            </w:r>
            <w:r w:rsidR="00B0574A" w:rsidRPr="00B0574A">
              <w:rPr>
                <w:b/>
                <w:bCs/>
                <w:noProof/>
                <w:webHidden/>
                <w:sz w:val="28"/>
                <w:szCs w:val="28"/>
              </w:rPr>
              <w:fldChar w:fldCharType="end"/>
            </w:r>
          </w:hyperlink>
        </w:p>
        <w:p w14:paraId="38263826" w14:textId="0C8743E0" w:rsidR="00B0574A" w:rsidRPr="00B0574A" w:rsidRDefault="00244E9D">
          <w:pPr>
            <w:pStyle w:val="Sommario1"/>
            <w:tabs>
              <w:tab w:val="left" w:pos="660"/>
              <w:tab w:val="right" w:leader="dot" w:pos="9628"/>
            </w:tabs>
            <w:rPr>
              <w:rFonts w:eastAsiaTheme="minorEastAsia"/>
              <w:b/>
              <w:bCs/>
              <w:noProof/>
              <w:sz w:val="28"/>
              <w:szCs w:val="28"/>
              <w:lang w:eastAsia="it-IT"/>
            </w:rPr>
          </w:pPr>
          <w:hyperlink w:anchor="_Toc113528117" w:history="1">
            <w:r w:rsidR="00B0574A" w:rsidRPr="00B0574A">
              <w:rPr>
                <w:rStyle w:val="Collegamentoipertestuale"/>
                <w:rFonts w:cstheme="minorHAnsi"/>
                <w:b/>
                <w:bCs/>
                <w:noProof/>
                <w:sz w:val="28"/>
                <w:szCs w:val="28"/>
              </w:rPr>
              <w:t>3.3.</w:t>
            </w:r>
            <w:r w:rsidR="00B0574A" w:rsidRPr="00B0574A">
              <w:rPr>
                <w:rFonts w:eastAsiaTheme="minorEastAsia"/>
                <w:b/>
                <w:bCs/>
                <w:noProof/>
                <w:sz w:val="28"/>
                <w:szCs w:val="28"/>
                <w:lang w:eastAsia="it-IT"/>
              </w:rPr>
              <w:tab/>
            </w:r>
            <w:r w:rsidR="00B0574A" w:rsidRPr="00B0574A">
              <w:rPr>
                <w:rStyle w:val="Collegamentoipertestuale"/>
                <w:rFonts w:cstheme="minorHAnsi"/>
                <w:b/>
                <w:bCs/>
                <w:noProof/>
                <w:sz w:val="28"/>
                <w:szCs w:val="28"/>
              </w:rPr>
              <w:t>Le costruzioni</w:t>
            </w:r>
            <w:r w:rsidR="00B0574A" w:rsidRPr="00B0574A">
              <w:rPr>
                <w:b/>
                <w:bCs/>
                <w:noProof/>
                <w:webHidden/>
                <w:sz w:val="28"/>
                <w:szCs w:val="28"/>
              </w:rPr>
              <w:tab/>
            </w:r>
            <w:r w:rsidR="00B0574A" w:rsidRPr="00B0574A">
              <w:rPr>
                <w:b/>
                <w:bCs/>
                <w:noProof/>
                <w:webHidden/>
                <w:sz w:val="28"/>
                <w:szCs w:val="28"/>
              </w:rPr>
              <w:fldChar w:fldCharType="begin"/>
            </w:r>
            <w:r w:rsidR="00B0574A" w:rsidRPr="00B0574A">
              <w:rPr>
                <w:b/>
                <w:bCs/>
                <w:noProof/>
                <w:webHidden/>
                <w:sz w:val="28"/>
                <w:szCs w:val="28"/>
              </w:rPr>
              <w:instrText xml:space="preserve"> PAGEREF _Toc113528117 \h </w:instrText>
            </w:r>
            <w:r w:rsidR="00B0574A" w:rsidRPr="00B0574A">
              <w:rPr>
                <w:b/>
                <w:bCs/>
                <w:noProof/>
                <w:webHidden/>
                <w:sz w:val="28"/>
                <w:szCs w:val="28"/>
              </w:rPr>
            </w:r>
            <w:r w:rsidR="00B0574A" w:rsidRPr="00B0574A">
              <w:rPr>
                <w:b/>
                <w:bCs/>
                <w:noProof/>
                <w:webHidden/>
                <w:sz w:val="28"/>
                <w:szCs w:val="28"/>
              </w:rPr>
              <w:fldChar w:fldCharType="separate"/>
            </w:r>
            <w:r w:rsidR="00652BF3">
              <w:rPr>
                <w:b/>
                <w:bCs/>
                <w:noProof/>
                <w:webHidden/>
                <w:sz w:val="28"/>
                <w:szCs w:val="28"/>
              </w:rPr>
              <w:t>10</w:t>
            </w:r>
            <w:r w:rsidR="00B0574A" w:rsidRPr="00B0574A">
              <w:rPr>
                <w:b/>
                <w:bCs/>
                <w:noProof/>
                <w:webHidden/>
                <w:sz w:val="28"/>
                <w:szCs w:val="28"/>
              </w:rPr>
              <w:fldChar w:fldCharType="end"/>
            </w:r>
          </w:hyperlink>
        </w:p>
        <w:p w14:paraId="2D44C945" w14:textId="09C1803B" w:rsidR="00B0574A" w:rsidRPr="00B0574A" w:rsidRDefault="00244E9D">
          <w:pPr>
            <w:pStyle w:val="Sommario1"/>
            <w:tabs>
              <w:tab w:val="left" w:pos="660"/>
              <w:tab w:val="right" w:leader="dot" w:pos="9628"/>
            </w:tabs>
            <w:rPr>
              <w:rFonts w:eastAsiaTheme="minorEastAsia"/>
              <w:b/>
              <w:bCs/>
              <w:noProof/>
              <w:sz w:val="28"/>
              <w:szCs w:val="28"/>
              <w:lang w:eastAsia="it-IT"/>
            </w:rPr>
          </w:pPr>
          <w:hyperlink w:anchor="_Toc113528118" w:history="1">
            <w:r w:rsidR="00B0574A" w:rsidRPr="00B0574A">
              <w:rPr>
                <w:rStyle w:val="Collegamentoipertestuale"/>
                <w:rFonts w:cstheme="minorHAnsi"/>
                <w:b/>
                <w:bCs/>
                <w:noProof/>
                <w:sz w:val="28"/>
                <w:szCs w:val="28"/>
              </w:rPr>
              <w:t>3.4.</w:t>
            </w:r>
            <w:r w:rsidR="00B0574A" w:rsidRPr="00B0574A">
              <w:rPr>
                <w:rFonts w:eastAsiaTheme="minorEastAsia"/>
                <w:b/>
                <w:bCs/>
                <w:noProof/>
                <w:sz w:val="28"/>
                <w:szCs w:val="28"/>
                <w:lang w:eastAsia="it-IT"/>
              </w:rPr>
              <w:tab/>
            </w:r>
            <w:r w:rsidR="00B0574A" w:rsidRPr="00B0574A">
              <w:rPr>
                <w:rStyle w:val="Collegamentoipertestuale"/>
                <w:rFonts w:cstheme="minorHAnsi"/>
                <w:b/>
                <w:bCs/>
                <w:noProof/>
                <w:sz w:val="28"/>
                <w:szCs w:val="28"/>
              </w:rPr>
              <w:t>I servizi</w:t>
            </w:r>
            <w:r w:rsidR="00B0574A" w:rsidRPr="00B0574A">
              <w:rPr>
                <w:b/>
                <w:bCs/>
                <w:noProof/>
                <w:webHidden/>
                <w:sz w:val="28"/>
                <w:szCs w:val="28"/>
              </w:rPr>
              <w:tab/>
            </w:r>
            <w:r w:rsidR="00B0574A" w:rsidRPr="00B0574A">
              <w:rPr>
                <w:b/>
                <w:bCs/>
                <w:noProof/>
                <w:webHidden/>
                <w:sz w:val="28"/>
                <w:szCs w:val="28"/>
              </w:rPr>
              <w:fldChar w:fldCharType="begin"/>
            </w:r>
            <w:r w:rsidR="00B0574A" w:rsidRPr="00B0574A">
              <w:rPr>
                <w:b/>
                <w:bCs/>
                <w:noProof/>
                <w:webHidden/>
                <w:sz w:val="28"/>
                <w:szCs w:val="28"/>
              </w:rPr>
              <w:instrText xml:space="preserve"> PAGEREF _Toc113528118 \h </w:instrText>
            </w:r>
            <w:r w:rsidR="00B0574A" w:rsidRPr="00B0574A">
              <w:rPr>
                <w:b/>
                <w:bCs/>
                <w:noProof/>
                <w:webHidden/>
                <w:sz w:val="28"/>
                <w:szCs w:val="28"/>
              </w:rPr>
            </w:r>
            <w:r w:rsidR="00B0574A" w:rsidRPr="00B0574A">
              <w:rPr>
                <w:b/>
                <w:bCs/>
                <w:noProof/>
                <w:webHidden/>
                <w:sz w:val="28"/>
                <w:szCs w:val="28"/>
              </w:rPr>
              <w:fldChar w:fldCharType="separate"/>
            </w:r>
            <w:r w:rsidR="00652BF3">
              <w:rPr>
                <w:b/>
                <w:bCs/>
                <w:noProof/>
                <w:webHidden/>
                <w:sz w:val="28"/>
                <w:szCs w:val="28"/>
              </w:rPr>
              <w:t>11</w:t>
            </w:r>
            <w:r w:rsidR="00B0574A" w:rsidRPr="00B0574A">
              <w:rPr>
                <w:b/>
                <w:bCs/>
                <w:noProof/>
                <w:webHidden/>
                <w:sz w:val="28"/>
                <w:szCs w:val="28"/>
              </w:rPr>
              <w:fldChar w:fldCharType="end"/>
            </w:r>
          </w:hyperlink>
        </w:p>
        <w:p w14:paraId="42EA3023" w14:textId="2AC3C91C" w:rsidR="00B0574A" w:rsidRPr="00B0574A" w:rsidRDefault="00244E9D">
          <w:pPr>
            <w:pStyle w:val="Sommario1"/>
            <w:tabs>
              <w:tab w:val="left" w:pos="440"/>
              <w:tab w:val="right" w:leader="dot" w:pos="9628"/>
            </w:tabs>
            <w:rPr>
              <w:rFonts w:eastAsiaTheme="minorEastAsia"/>
              <w:b/>
              <w:bCs/>
              <w:noProof/>
              <w:sz w:val="28"/>
              <w:szCs w:val="28"/>
              <w:lang w:eastAsia="it-IT"/>
            </w:rPr>
          </w:pPr>
          <w:hyperlink w:anchor="_Toc113528119" w:history="1">
            <w:r w:rsidR="00B0574A" w:rsidRPr="00B0574A">
              <w:rPr>
                <w:rStyle w:val="Collegamentoipertestuale"/>
                <w:rFonts w:cstheme="minorHAnsi"/>
                <w:b/>
                <w:bCs/>
                <w:noProof/>
                <w:sz w:val="28"/>
                <w:szCs w:val="28"/>
              </w:rPr>
              <w:t>4.</w:t>
            </w:r>
            <w:r w:rsidR="00B0574A" w:rsidRPr="00B0574A">
              <w:rPr>
                <w:rFonts w:eastAsiaTheme="minorEastAsia"/>
                <w:b/>
                <w:bCs/>
                <w:noProof/>
                <w:sz w:val="28"/>
                <w:szCs w:val="28"/>
                <w:lang w:eastAsia="it-IT"/>
              </w:rPr>
              <w:tab/>
            </w:r>
            <w:r w:rsidR="00B0574A" w:rsidRPr="00B0574A">
              <w:rPr>
                <w:rStyle w:val="Collegamentoipertestuale"/>
                <w:rFonts w:cstheme="minorHAnsi"/>
                <w:b/>
                <w:bCs/>
                <w:noProof/>
                <w:sz w:val="28"/>
                <w:szCs w:val="28"/>
              </w:rPr>
              <w:t>Le caratteristiche territoriali degli andamenti del valore aggiunto pre e post covid</w:t>
            </w:r>
            <w:r w:rsidR="00B0574A" w:rsidRPr="00B0574A">
              <w:rPr>
                <w:b/>
                <w:bCs/>
                <w:noProof/>
                <w:webHidden/>
                <w:sz w:val="28"/>
                <w:szCs w:val="28"/>
              </w:rPr>
              <w:tab/>
            </w:r>
            <w:r w:rsidR="00B0574A" w:rsidRPr="00B0574A">
              <w:rPr>
                <w:b/>
                <w:bCs/>
                <w:noProof/>
                <w:webHidden/>
                <w:sz w:val="28"/>
                <w:szCs w:val="28"/>
              </w:rPr>
              <w:fldChar w:fldCharType="begin"/>
            </w:r>
            <w:r w:rsidR="00B0574A" w:rsidRPr="00B0574A">
              <w:rPr>
                <w:b/>
                <w:bCs/>
                <w:noProof/>
                <w:webHidden/>
                <w:sz w:val="28"/>
                <w:szCs w:val="28"/>
              </w:rPr>
              <w:instrText xml:space="preserve"> PAGEREF _Toc113528119 \h </w:instrText>
            </w:r>
            <w:r w:rsidR="00B0574A" w:rsidRPr="00B0574A">
              <w:rPr>
                <w:b/>
                <w:bCs/>
                <w:noProof/>
                <w:webHidden/>
                <w:sz w:val="28"/>
                <w:szCs w:val="28"/>
              </w:rPr>
            </w:r>
            <w:r w:rsidR="00B0574A" w:rsidRPr="00B0574A">
              <w:rPr>
                <w:b/>
                <w:bCs/>
                <w:noProof/>
                <w:webHidden/>
                <w:sz w:val="28"/>
                <w:szCs w:val="28"/>
              </w:rPr>
              <w:fldChar w:fldCharType="separate"/>
            </w:r>
            <w:r w:rsidR="00652BF3">
              <w:rPr>
                <w:b/>
                <w:bCs/>
                <w:noProof/>
                <w:webHidden/>
                <w:sz w:val="28"/>
                <w:szCs w:val="28"/>
              </w:rPr>
              <w:t>21</w:t>
            </w:r>
            <w:r w:rsidR="00B0574A" w:rsidRPr="00B0574A">
              <w:rPr>
                <w:b/>
                <w:bCs/>
                <w:noProof/>
                <w:webHidden/>
                <w:sz w:val="28"/>
                <w:szCs w:val="28"/>
              </w:rPr>
              <w:fldChar w:fldCharType="end"/>
            </w:r>
          </w:hyperlink>
        </w:p>
        <w:p w14:paraId="2D4580EA" w14:textId="0A86DB68" w:rsidR="00B0574A" w:rsidRPr="00B0574A" w:rsidRDefault="00244E9D">
          <w:pPr>
            <w:pStyle w:val="Sommario1"/>
            <w:tabs>
              <w:tab w:val="left" w:pos="440"/>
              <w:tab w:val="right" w:leader="dot" w:pos="9628"/>
            </w:tabs>
            <w:rPr>
              <w:rFonts w:eastAsiaTheme="minorEastAsia"/>
              <w:noProof/>
              <w:sz w:val="28"/>
              <w:szCs w:val="28"/>
              <w:lang w:eastAsia="it-IT"/>
            </w:rPr>
          </w:pPr>
          <w:hyperlink w:anchor="_Toc113528120" w:history="1">
            <w:r w:rsidR="00B0574A" w:rsidRPr="00B0574A">
              <w:rPr>
                <w:rStyle w:val="Collegamentoipertestuale"/>
                <w:rFonts w:cstheme="minorHAnsi"/>
                <w:b/>
                <w:bCs/>
                <w:noProof/>
                <w:sz w:val="28"/>
                <w:szCs w:val="28"/>
              </w:rPr>
              <w:t>5.</w:t>
            </w:r>
            <w:r w:rsidR="00B0574A" w:rsidRPr="00B0574A">
              <w:rPr>
                <w:rFonts w:eastAsiaTheme="minorEastAsia"/>
                <w:b/>
                <w:bCs/>
                <w:noProof/>
                <w:sz w:val="28"/>
                <w:szCs w:val="28"/>
                <w:lang w:eastAsia="it-IT"/>
              </w:rPr>
              <w:tab/>
            </w:r>
            <w:r w:rsidR="00B0574A" w:rsidRPr="00B0574A">
              <w:rPr>
                <w:rStyle w:val="Collegamentoipertestuale"/>
                <w:rFonts w:cstheme="minorHAnsi"/>
                <w:b/>
                <w:bCs/>
                <w:noProof/>
                <w:sz w:val="28"/>
                <w:szCs w:val="28"/>
              </w:rPr>
              <w:t>Il valore aggiunto procapite prima e dopo il Covid-19</w:t>
            </w:r>
            <w:r w:rsidR="00B0574A" w:rsidRPr="00B0574A">
              <w:rPr>
                <w:b/>
                <w:bCs/>
                <w:noProof/>
                <w:webHidden/>
                <w:sz w:val="28"/>
                <w:szCs w:val="28"/>
              </w:rPr>
              <w:tab/>
            </w:r>
            <w:r w:rsidR="00B0574A" w:rsidRPr="00B0574A">
              <w:rPr>
                <w:b/>
                <w:bCs/>
                <w:noProof/>
                <w:webHidden/>
                <w:sz w:val="28"/>
                <w:szCs w:val="28"/>
              </w:rPr>
              <w:fldChar w:fldCharType="begin"/>
            </w:r>
            <w:r w:rsidR="00B0574A" w:rsidRPr="00B0574A">
              <w:rPr>
                <w:b/>
                <w:bCs/>
                <w:noProof/>
                <w:webHidden/>
                <w:sz w:val="28"/>
                <w:szCs w:val="28"/>
              </w:rPr>
              <w:instrText xml:space="preserve"> PAGEREF _Toc113528120 \h </w:instrText>
            </w:r>
            <w:r w:rsidR="00B0574A" w:rsidRPr="00B0574A">
              <w:rPr>
                <w:b/>
                <w:bCs/>
                <w:noProof/>
                <w:webHidden/>
                <w:sz w:val="28"/>
                <w:szCs w:val="28"/>
              </w:rPr>
            </w:r>
            <w:r w:rsidR="00B0574A" w:rsidRPr="00B0574A">
              <w:rPr>
                <w:b/>
                <w:bCs/>
                <w:noProof/>
                <w:webHidden/>
                <w:sz w:val="28"/>
                <w:szCs w:val="28"/>
              </w:rPr>
              <w:fldChar w:fldCharType="separate"/>
            </w:r>
            <w:r w:rsidR="00652BF3">
              <w:rPr>
                <w:b/>
                <w:bCs/>
                <w:noProof/>
                <w:webHidden/>
                <w:sz w:val="28"/>
                <w:szCs w:val="28"/>
              </w:rPr>
              <w:t>24</w:t>
            </w:r>
            <w:r w:rsidR="00B0574A" w:rsidRPr="00B0574A">
              <w:rPr>
                <w:b/>
                <w:bCs/>
                <w:noProof/>
                <w:webHidden/>
                <w:sz w:val="28"/>
                <w:szCs w:val="28"/>
              </w:rPr>
              <w:fldChar w:fldCharType="end"/>
            </w:r>
          </w:hyperlink>
        </w:p>
        <w:p w14:paraId="3969B1F3" w14:textId="5E6F4E73" w:rsidR="00037616" w:rsidRDefault="00037616">
          <w:r>
            <w:rPr>
              <w:b/>
              <w:bCs/>
            </w:rPr>
            <w:fldChar w:fldCharType="end"/>
          </w:r>
        </w:p>
      </w:sdtContent>
    </w:sdt>
    <w:p w14:paraId="47E1724A" w14:textId="77777777" w:rsidR="007C3E36" w:rsidRDefault="007C3E36">
      <w:pPr>
        <w:rPr>
          <w:b/>
          <w:bCs/>
          <w:sz w:val="28"/>
          <w:szCs w:val="28"/>
        </w:rPr>
      </w:pPr>
    </w:p>
    <w:p w14:paraId="78DAF9C4" w14:textId="0F1BE08E" w:rsidR="007C3E36" w:rsidRDefault="007C3E36">
      <w:pPr>
        <w:rPr>
          <w:b/>
          <w:bCs/>
          <w:sz w:val="28"/>
          <w:szCs w:val="28"/>
        </w:rPr>
      </w:pPr>
      <w:r>
        <w:rPr>
          <w:b/>
          <w:bCs/>
          <w:sz w:val="28"/>
          <w:szCs w:val="28"/>
        </w:rPr>
        <w:br w:type="page"/>
      </w:r>
    </w:p>
    <w:p w14:paraId="1052D014" w14:textId="54FF0AA8" w:rsidR="00B50F24" w:rsidRPr="00C41670" w:rsidRDefault="009B7DA4" w:rsidP="00C41670">
      <w:pPr>
        <w:pStyle w:val="Titolo1"/>
        <w:numPr>
          <w:ilvl w:val="0"/>
          <w:numId w:val="4"/>
        </w:numPr>
        <w:rPr>
          <w:rFonts w:asciiTheme="minorHAnsi" w:hAnsiTheme="minorHAnsi" w:cstheme="minorHAnsi"/>
          <w:b/>
          <w:bCs/>
          <w:color w:val="auto"/>
          <w:sz w:val="28"/>
          <w:szCs w:val="28"/>
        </w:rPr>
      </w:pPr>
      <w:bookmarkStart w:id="1" w:name="_Toc113528109"/>
      <w:r w:rsidRPr="00C41670">
        <w:rPr>
          <w:rFonts w:asciiTheme="minorHAnsi" w:hAnsiTheme="minorHAnsi" w:cstheme="minorHAnsi"/>
          <w:b/>
          <w:bCs/>
          <w:color w:val="auto"/>
          <w:sz w:val="28"/>
          <w:szCs w:val="28"/>
        </w:rPr>
        <w:lastRenderedPageBreak/>
        <w:t>Le dinamiche territoriali nel 2021</w:t>
      </w:r>
      <w:bookmarkEnd w:id="1"/>
    </w:p>
    <w:p w14:paraId="3E2D5634" w14:textId="48711C14" w:rsidR="00B86C6C" w:rsidRDefault="0000676A" w:rsidP="00C41670">
      <w:pPr>
        <w:spacing w:before="200" w:after="0" w:line="276" w:lineRule="auto"/>
        <w:jc w:val="both"/>
        <w:rPr>
          <w:sz w:val="24"/>
          <w:szCs w:val="24"/>
        </w:rPr>
      </w:pPr>
      <w:r w:rsidRPr="00B50F24">
        <w:rPr>
          <w:sz w:val="24"/>
          <w:szCs w:val="24"/>
        </w:rPr>
        <w:t>Il 2021 ha visto</w:t>
      </w:r>
      <w:r w:rsidR="00037616" w:rsidRPr="00B50F24">
        <w:rPr>
          <w:sz w:val="24"/>
          <w:szCs w:val="24"/>
        </w:rPr>
        <w:t>,</w:t>
      </w:r>
      <w:r w:rsidRPr="00B50F24">
        <w:rPr>
          <w:sz w:val="24"/>
          <w:szCs w:val="24"/>
        </w:rPr>
        <w:t xml:space="preserve"> come già ampiamente evidenziato dai dati nazionali diffusi da Istat negli scorsi mesi</w:t>
      </w:r>
      <w:r w:rsidR="00037616" w:rsidRPr="00B50F24">
        <w:rPr>
          <w:sz w:val="24"/>
          <w:szCs w:val="24"/>
        </w:rPr>
        <w:t>,</w:t>
      </w:r>
      <w:r w:rsidRPr="00B50F24">
        <w:rPr>
          <w:sz w:val="24"/>
          <w:szCs w:val="24"/>
        </w:rPr>
        <w:t xml:space="preserve"> una decisa ripresa dell’attività economica del paese dopo il 2020 caratterizzato dalla</w:t>
      </w:r>
      <w:r w:rsidR="00281EFC" w:rsidRPr="00B50F24">
        <w:rPr>
          <w:sz w:val="24"/>
          <w:szCs w:val="24"/>
        </w:rPr>
        <w:t xml:space="preserve"> presenza della</w:t>
      </w:r>
      <w:r w:rsidRPr="00B50F24">
        <w:rPr>
          <w:sz w:val="24"/>
          <w:szCs w:val="24"/>
        </w:rPr>
        <w:t xml:space="preserve"> pandemia. </w:t>
      </w:r>
      <w:r w:rsidR="00C41670">
        <w:rPr>
          <w:sz w:val="24"/>
          <w:szCs w:val="24"/>
        </w:rPr>
        <w:t xml:space="preserve"> </w:t>
      </w:r>
      <w:r w:rsidRPr="00B50F24">
        <w:rPr>
          <w:sz w:val="24"/>
          <w:szCs w:val="24"/>
        </w:rPr>
        <w:t>In termini correnti il valore aggiunto del complesso del paese</w:t>
      </w:r>
      <w:r w:rsidR="002A35AE" w:rsidRPr="00B50F24">
        <w:rPr>
          <w:sz w:val="24"/>
          <w:szCs w:val="24"/>
        </w:rPr>
        <w:t xml:space="preserve"> nel 2021</w:t>
      </w:r>
      <w:r w:rsidRPr="00B50F24">
        <w:rPr>
          <w:sz w:val="24"/>
          <w:szCs w:val="24"/>
        </w:rPr>
        <w:t xml:space="preserve"> è cresciuto del 6,1% con una lieve differenza fra Centro-Nord e il Mezzogiorno con la prima area che ha chiuso a +6,2% </w:t>
      </w:r>
      <w:r w:rsidR="002A35AE" w:rsidRPr="00B50F24">
        <w:rPr>
          <w:sz w:val="24"/>
          <w:szCs w:val="24"/>
        </w:rPr>
        <w:t>(</w:t>
      </w:r>
      <w:r w:rsidRPr="00B50F24">
        <w:rPr>
          <w:sz w:val="24"/>
          <w:szCs w:val="24"/>
        </w:rPr>
        <w:t xml:space="preserve">trascinata dal Nord-Est che ha concluso il 2021 con un bilancio del 6,9% a cui ha corrisposto un Centro cresciuto solo del 5,4%) mentre il Mezzogiorno ha visto il 2021 chiudere con un bilancio di +5,9% con una decisa suddivisione fra </w:t>
      </w:r>
      <w:r w:rsidR="002A35AE" w:rsidRPr="00B50F24">
        <w:rPr>
          <w:sz w:val="24"/>
          <w:szCs w:val="24"/>
        </w:rPr>
        <w:t>le performance del Sud</w:t>
      </w:r>
      <w:r w:rsidRPr="00B50F24">
        <w:rPr>
          <w:sz w:val="24"/>
          <w:szCs w:val="24"/>
        </w:rPr>
        <w:t xml:space="preserve"> (+6,0%) e quell</w:t>
      </w:r>
      <w:r w:rsidR="002A35AE" w:rsidRPr="00B50F24">
        <w:rPr>
          <w:sz w:val="24"/>
          <w:szCs w:val="24"/>
        </w:rPr>
        <w:t>a</w:t>
      </w:r>
      <w:r w:rsidRPr="00B50F24">
        <w:rPr>
          <w:sz w:val="24"/>
          <w:szCs w:val="24"/>
        </w:rPr>
        <w:t xml:space="preserve"> isolan</w:t>
      </w:r>
      <w:r w:rsidR="002A35AE" w:rsidRPr="00B50F24">
        <w:rPr>
          <w:sz w:val="24"/>
          <w:szCs w:val="24"/>
        </w:rPr>
        <w:t>a</w:t>
      </w:r>
      <w:r w:rsidRPr="00B50F24">
        <w:rPr>
          <w:sz w:val="24"/>
          <w:szCs w:val="24"/>
        </w:rPr>
        <w:t xml:space="preserve"> (+5,5%). </w:t>
      </w:r>
      <w:r w:rsidR="002A35AE" w:rsidRPr="00B50F24">
        <w:rPr>
          <w:sz w:val="24"/>
          <w:szCs w:val="24"/>
        </w:rPr>
        <w:t>V</w:t>
      </w:r>
      <w:r w:rsidRPr="00B50F24">
        <w:rPr>
          <w:sz w:val="24"/>
          <w:szCs w:val="24"/>
        </w:rPr>
        <w:t xml:space="preserve">a però evidenziato come, nonostante il Sud abbia chiuso con un bilancio leggermente peggiore rispetto a quello del resto del paese, le due province che hanno evidenziato </w:t>
      </w:r>
      <w:r w:rsidR="002A35AE" w:rsidRPr="00B50F24">
        <w:rPr>
          <w:sz w:val="24"/>
          <w:szCs w:val="24"/>
        </w:rPr>
        <w:t>il</w:t>
      </w:r>
      <w:r w:rsidRPr="00B50F24">
        <w:rPr>
          <w:sz w:val="24"/>
          <w:szCs w:val="24"/>
        </w:rPr>
        <w:t xml:space="preserve"> maggiore dinamismo (in un contesto nel quale tutte le province hanno chiuso il 2021 con il segno positivo) sono entrambe del Mezzogiorno ed entrambe della Basilicata</w:t>
      </w:r>
      <w:r w:rsidR="00EB3D8B" w:rsidRPr="00B50F24">
        <w:rPr>
          <w:sz w:val="24"/>
          <w:szCs w:val="24"/>
        </w:rPr>
        <w:t xml:space="preserve">: Potenza (+11,3%) e Matera (+9,4%) a cui si </w:t>
      </w:r>
      <w:r w:rsidR="002A35AE" w:rsidRPr="00B50F24">
        <w:rPr>
          <w:sz w:val="24"/>
          <w:szCs w:val="24"/>
        </w:rPr>
        <w:t xml:space="preserve">può </w:t>
      </w:r>
      <w:r w:rsidR="00EB3D8B" w:rsidRPr="00B50F24">
        <w:rPr>
          <w:sz w:val="24"/>
          <w:szCs w:val="24"/>
        </w:rPr>
        <w:t>aggiunge</w:t>
      </w:r>
      <w:r w:rsidR="002A35AE" w:rsidRPr="00B50F24">
        <w:rPr>
          <w:sz w:val="24"/>
          <w:szCs w:val="24"/>
        </w:rPr>
        <w:t>re</w:t>
      </w:r>
      <w:r w:rsidR="00EB3D8B" w:rsidRPr="00B50F24">
        <w:rPr>
          <w:sz w:val="24"/>
          <w:szCs w:val="24"/>
        </w:rPr>
        <w:t xml:space="preserve"> rimanendo nella top ten delle province più dinamiche anche l’ottava piazza conseguita da Crotone (+7,5%). </w:t>
      </w:r>
    </w:p>
    <w:p w14:paraId="3D71335D" w14:textId="77777777" w:rsidR="00ED5DFE" w:rsidRDefault="00EB3D8B" w:rsidP="005E3E30">
      <w:pPr>
        <w:spacing w:after="0" w:line="276" w:lineRule="auto"/>
        <w:jc w:val="both"/>
        <w:rPr>
          <w:sz w:val="24"/>
          <w:szCs w:val="24"/>
        </w:rPr>
      </w:pPr>
      <w:r w:rsidRPr="00B50F24">
        <w:rPr>
          <w:sz w:val="24"/>
          <w:szCs w:val="24"/>
        </w:rPr>
        <w:t>Per quanto concerne le altre macro</w:t>
      </w:r>
      <w:r w:rsidR="002A35AE" w:rsidRPr="00B50F24">
        <w:rPr>
          <w:sz w:val="24"/>
          <w:szCs w:val="24"/>
        </w:rPr>
        <w:t xml:space="preserve"> </w:t>
      </w:r>
      <w:r w:rsidRPr="00B50F24">
        <w:rPr>
          <w:sz w:val="24"/>
          <w:szCs w:val="24"/>
        </w:rPr>
        <w:t>aree, nel Nord-Ovest (che non presenta alcuna provincia all’interno dell</w:t>
      </w:r>
      <w:r w:rsidR="00DF1610" w:rsidRPr="00B50F24">
        <w:rPr>
          <w:sz w:val="24"/>
          <w:szCs w:val="24"/>
        </w:rPr>
        <w:t>e prime dieci posizioni)</w:t>
      </w:r>
      <w:r w:rsidRPr="00B50F24">
        <w:rPr>
          <w:sz w:val="24"/>
          <w:szCs w:val="24"/>
        </w:rPr>
        <w:t xml:space="preserve"> </w:t>
      </w:r>
      <w:r w:rsidR="002A35AE" w:rsidRPr="00B50F24">
        <w:rPr>
          <w:sz w:val="24"/>
          <w:szCs w:val="24"/>
        </w:rPr>
        <w:t>si segnala</w:t>
      </w:r>
      <w:r w:rsidRPr="00B50F24">
        <w:rPr>
          <w:sz w:val="24"/>
          <w:szCs w:val="24"/>
        </w:rPr>
        <w:t xml:space="preserve"> Savona (undicesima) che supera di un soffio Genova (per ambedue la valutazione al primo decimale ammonta al 7,5%). Nel Nord-Est prevale, invece</w:t>
      </w:r>
      <w:r w:rsidR="00DF1610" w:rsidRPr="00B50F24">
        <w:rPr>
          <w:sz w:val="24"/>
          <w:szCs w:val="24"/>
        </w:rPr>
        <w:t xml:space="preserve"> quella che è una delle province italiane manifatturiere per eccellenza come</w:t>
      </w:r>
      <w:r w:rsidRPr="00B50F24">
        <w:rPr>
          <w:sz w:val="24"/>
          <w:szCs w:val="24"/>
        </w:rPr>
        <w:t xml:space="preserve"> Vicenza (+8,3%</w:t>
      </w:r>
      <w:r w:rsidR="00DF1610" w:rsidRPr="00B50F24">
        <w:rPr>
          <w:sz w:val="24"/>
          <w:szCs w:val="24"/>
        </w:rPr>
        <w:t>, quarta in Italia</w:t>
      </w:r>
      <w:r w:rsidRPr="00B50F24">
        <w:rPr>
          <w:sz w:val="24"/>
          <w:szCs w:val="24"/>
        </w:rPr>
        <w:t>) mentre nel Centro la palma di provincia che maggiormente ha cambiato marcia va assegnata a Terni (+9,2%</w:t>
      </w:r>
      <w:r w:rsidR="00DF1610" w:rsidRPr="00B50F24">
        <w:rPr>
          <w:sz w:val="24"/>
          <w:szCs w:val="24"/>
        </w:rPr>
        <w:t xml:space="preserve"> sufficiente per salire sul podio delle province più performanti</w:t>
      </w:r>
      <w:r w:rsidRPr="00B50F24">
        <w:rPr>
          <w:sz w:val="24"/>
          <w:szCs w:val="24"/>
        </w:rPr>
        <w:t xml:space="preserve">). Il fatto che il Mezzogiorno pur essendo cresciuto meno del Centro-Nord presenti al contempo anche le due performance provinciali più rilevanti si spiega con la decisa eterogeneità della crescita in questa area rispetto al resto del paese. Tale eterogeneità si può osservare </w:t>
      </w:r>
      <w:r w:rsidR="00DF1610" w:rsidRPr="00B50F24">
        <w:rPr>
          <w:sz w:val="24"/>
          <w:szCs w:val="24"/>
        </w:rPr>
        <w:t xml:space="preserve">già </w:t>
      </w:r>
      <w:r w:rsidRPr="00B50F24">
        <w:rPr>
          <w:sz w:val="24"/>
          <w:szCs w:val="24"/>
        </w:rPr>
        <w:t>empiricamente osservando che a Potenza, Matera e Crotone si contrappongono L’Aquila, Campobasso e Isernia che sono comprese nell’insieme delle quattro province con la minore crescita (+4,4% per i due capoluoghi</w:t>
      </w:r>
      <w:r w:rsidR="00DF1610" w:rsidRPr="00B50F24">
        <w:rPr>
          <w:sz w:val="24"/>
          <w:szCs w:val="24"/>
        </w:rPr>
        <w:t xml:space="preserve"> regionali</w:t>
      </w:r>
      <w:r w:rsidRPr="00B50F24">
        <w:rPr>
          <w:sz w:val="24"/>
          <w:szCs w:val="24"/>
        </w:rPr>
        <w:t xml:space="preserve"> e +4,1% per</w:t>
      </w:r>
      <w:r w:rsidR="00DF1610" w:rsidRPr="00B50F24">
        <w:rPr>
          <w:sz w:val="24"/>
          <w:szCs w:val="24"/>
        </w:rPr>
        <w:t xml:space="preserve"> l’altra provincia molisana che è stata la circoscrizione di livello NUTS 3 meno performante di tutto il paese</w:t>
      </w:r>
      <w:r w:rsidRPr="00B50F24">
        <w:rPr>
          <w:sz w:val="24"/>
          <w:szCs w:val="24"/>
        </w:rPr>
        <w:t>) a cui si</w:t>
      </w:r>
      <w:r w:rsidR="00DF1610" w:rsidRPr="00B50F24">
        <w:rPr>
          <w:sz w:val="24"/>
          <w:szCs w:val="24"/>
        </w:rPr>
        <w:t xml:space="preserve"> possono aggiungere</w:t>
      </w:r>
      <w:r w:rsidRPr="00B50F24">
        <w:rPr>
          <w:sz w:val="24"/>
          <w:szCs w:val="24"/>
        </w:rPr>
        <w:t xml:space="preserve"> anche Catania (+4,8%) e Pescara (+4,7%) che sono nella bottom ten delle province meno performanti. </w:t>
      </w:r>
    </w:p>
    <w:p w14:paraId="3A9BC510" w14:textId="77777777" w:rsidR="00834FB2" w:rsidRDefault="00EB3D8B" w:rsidP="005E3E30">
      <w:pPr>
        <w:spacing w:after="0" w:line="276" w:lineRule="auto"/>
        <w:jc w:val="both"/>
        <w:rPr>
          <w:sz w:val="24"/>
          <w:szCs w:val="24"/>
        </w:rPr>
      </w:pPr>
      <w:r w:rsidRPr="00B50F24">
        <w:rPr>
          <w:sz w:val="24"/>
          <w:szCs w:val="24"/>
        </w:rPr>
        <w:t>Ma al di là della osservazione empirica</w:t>
      </w:r>
      <w:r w:rsidR="00C56E41" w:rsidRPr="00B50F24">
        <w:rPr>
          <w:sz w:val="24"/>
          <w:szCs w:val="24"/>
        </w:rPr>
        <w:t>,</w:t>
      </w:r>
      <w:r w:rsidRPr="00B50F24">
        <w:rPr>
          <w:sz w:val="24"/>
          <w:szCs w:val="24"/>
        </w:rPr>
        <w:t xml:space="preserve"> questo grado di eterogeneità può essere calcolato in maniera complessiva utilizzando il coefficiente di variazione, ovvero il rapporto fra la deviazione standard e la media aritmetica </w:t>
      </w:r>
      <w:r w:rsidR="006128AE" w:rsidRPr="00B50F24">
        <w:rPr>
          <w:sz w:val="24"/>
          <w:szCs w:val="24"/>
        </w:rPr>
        <w:t xml:space="preserve">in ciascuna delle aree in cui si suddivide </w:t>
      </w:r>
      <w:r w:rsidR="000A7EB0">
        <w:rPr>
          <w:sz w:val="24"/>
          <w:szCs w:val="24"/>
        </w:rPr>
        <w:t xml:space="preserve">il paese, dove un valore più elevato </w:t>
      </w:r>
      <w:r w:rsidR="006128AE" w:rsidRPr="00B50F24">
        <w:rPr>
          <w:sz w:val="24"/>
          <w:szCs w:val="24"/>
        </w:rPr>
        <w:t xml:space="preserve">denota </w:t>
      </w:r>
      <w:r w:rsidR="000A7EB0">
        <w:rPr>
          <w:sz w:val="24"/>
          <w:szCs w:val="24"/>
        </w:rPr>
        <w:t xml:space="preserve">maggiore </w:t>
      </w:r>
      <w:r w:rsidR="006128AE" w:rsidRPr="00B50F24">
        <w:rPr>
          <w:sz w:val="24"/>
          <w:szCs w:val="24"/>
        </w:rPr>
        <w:t xml:space="preserve">eterogeneità. </w:t>
      </w:r>
      <w:r w:rsidR="000A7EB0">
        <w:rPr>
          <w:sz w:val="24"/>
          <w:szCs w:val="24"/>
        </w:rPr>
        <w:t xml:space="preserve">La variabilità </w:t>
      </w:r>
      <w:r w:rsidR="006128AE" w:rsidRPr="00B50F24">
        <w:rPr>
          <w:sz w:val="24"/>
          <w:szCs w:val="24"/>
        </w:rPr>
        <w:t xml:space="preserve">del Mezzogiorno supera di oltre il 50% quello del Centro-Nord, vale a dire che l’eterogeneità del Mezzogiorno </w:t>
      </w:r>
      <w:r w:rsidR="00C56E41" w:rsidRPr="00B50F24">
        <w:rPr>
          <w:sz w:val="24"/>
          <w:szCs w:val="24"/>
        </w:rPr>
        <w:t xml:space="preserve">(ed in particolare del Sud in senso stretto) </w:t>
      </w:r>
      <w:r w:rsidR="006128AE" w:rsidRPr="00B50F24">
        <w:rPr>
          <w:sz w:val="24"/>
          <w:szCs w:val="24"/>
        </w:rPr>
        <w:t>è stata il 50% superiore a quella del</w:t>
      </w:r>
      <w:r w:rsidR="00C56E41" w:rsidRPr="00B50F24">
        <w:rPr>
          <w:sz w:val="24"/>
          <w:szCs w:val="24"/>
        </w:rPr>
        <w:t xml:space="preserve"> resto del paese. </w:t>
      </w:r>
    </w:p>
    <w:p w14:paraId="7277FAA4" w14:textId="56C9F98E" w:rsidR="0000676A" w:rsidRPr="00B50F24" w:rsidRDefault="006128AE" w:rsidP="005E3E30">
      <w:pPr>
        <w:spacing w:after="0" w:line="276" w:lineRule="auto"/>
        <w:jc w:val="both"/>
        <w:rPr>
          <w:sz w:val="24"/>
          <w:szCs w:val="24"/>
        </w:rPr>
      </w:pPr>
      <w:r w:rsidRPr="00B50F24">
        <w:rPr>
          <w:sz w:val="24"/>
          <w:szCs w:val="24"/>
        </w:rPr>
        <w:t>Anche nell’Italia Centrale però l’eterogeneità è stata molto diffusa. Oltre alla già citata Terni anche il capoluogo umbro si è distinto per crescita (+7,9%) ed un ottimo contributo arriva anche da due espressioni marchigiane come Pesaro e Urbino e Fermo (+7,5%) con la provincia al confine con l’Emilia-Romagna che chiude l’insieme della top ten delle province maggiormente performanti. Dall’altro lato della medaglia l’asse centrale del paese offre alla bottom ten delle province meno performanti ben 5 elementi tra cui</w:t>
      </w:r>
      <w:r w:rsidR="00C56E41" w:rsidRPr="00B50F24">
        <w:rPr>
          <w:sz w:val="24"/>
          <w:szCs w:val="24"/>
        </w:rPr>
        <w:t xml:space="preserve"> spicca Roma</w:t>
      </w:r>
      <w:r w:rsidRPr="00B50F24">
        <w:rPr>
          <w:sz w:val="24"/>
          <w:szCs w:val="24"/>
        </w:rPr>
        <w:t xml:space="preserve">. Entrando nello specifico </w:t>
      </w:r>
      <w:r w:rsidR="00C56E41" w:rsidRPr="00B50F24">
        <w:rPr>
          <w:sz w:val="24"/>
          <w:szCs w:val="24"/>
        </w:rPr>
        <w:t>si possono evidenziare</w:t>
      </w:r>
      <w:r w:rsidR="006408D8" w:rsidRPr="00B50F24">
        <w:rPr>
          <w:sz w:val="24"/>
          <w:szCs w:val="24"/>
        </w:rPr>
        <w:t xml:space="preserve"> </w:t>
      </w:r>
      <w:r w:rsidR="006408D8" w:rsidRPr="00B50F24">
        <w:rPr>
          <w:sz w:val="24"/>
          <w:szCs w:val="24"/>
        </w:rPr>
        <w:lastRenderedPageBreak/>
        <w:t>Grosseto (+4,2%, penultima provincia per tasso di crescita e ultima nell’ambito del Centro-Nord), Massa-Carrara (+4,4% quintultima), Rieti (+4,7%, sestultima), la già citata Roma (+4,7% con solo sei province ad evidenziare un tasso di crescita inferiore) e infine Viterbo (+4,8% che è la provincia migliore nell’ambito della bottom ten).</w:t>
      </w:r>
    </w:p>
    <w:p w14:paraId="5789A1CF" w14:textId="77777777" w:rsidR="0000676A" w:rsidRDefault="0000676A" w:rsidP="0020157D">
      <w:pPr>
        <w:spacing w:after="0" w:line="240" w:lineRule="auto"/>
        <w:rPr>
          <w:b/>
          <w:bCs/>
          <w:sz w:val="18"/>
          <w:szCs w:val="18"/>
        </w:rPr>
      </w:pPr>
    </w:p>
    <w:p w14:paraId="313EA682" w14:textId="56C9BE15" w:rsidR="00F83940" w:rsidRDefault="00961E8D" w:rsidP="0020157D">
      <w:pPr>
        <w:spacing w:after="0" w:line="240" w:lineRule="auto"/>
        <w:rPr>
          <w:b/>
          <w:bCs/>
          <w:sz w:val="18"/>
          <w:szCs w:val="18"/>
        </w:rPr>
      </w:pPr>
      <w:r w:rsidRPr="0020157D">
        <w:rPr>
          <w:b/>
          <w:bCs/>
          <w:sz w:val="18"/>
          <w:szCs w:val="18"/>
        </w:rPr>
        <w:t xml:space="preserve">Fig.1-Variazione </w:t>
      </w:r>
      <w:r w:rsidR="00BE71F3">
        <w:rPr>
          <w:b/>
          <w:bCs/>
          <w:sz w:val="18"/>
          <w:szCs w:val="18"/>
        </w:rPr>
        <w:t xml:space="preserve">percentuale </w:t>
      </w:r>
      <w:r w:rsidRPr="0020157D">
        <w:rPr>
          <w:b/>
          <w:bCs/>
          <w:sz w:val="18"/>
          <w:szCs w:val="18"/>
        </w:rPr>
        <w:t>del valore aggiunto a prezzi base e correnti fra 2020 e 2021 nelle province italiane</w:t>
      </w:r>
    </w:p>
    <w:p w14:paraId="148E211F" w14:textId="11FD462E" w:rsidR="005E3E30" w:rsidRPr="0020157D" w:rsidRDefault="005E3E30" w:rsidP="005E3E30">
      <w:pPr>
        <w:spacing w:after="0" w:line="240" w:lineRule="auto"/>
        <w:jc w:val="center"/>
        <w:rPr>
          <w:b/>
          <w:bCs/>
          <w:sz w:val="18"/>
          <w:szCs w:val="18"/>
        </w:rPr>
      </w:pPr>
      <w:r>
        <w:rPr>
          <w:b/>
          <w:bCs/>
          <w:noProof/>
          <w:sz w:val="18"/>
          <w:szCs w:val="18"/>
          <w:lang w:eastAsia="it-IT"/>
        </w:rPr>
        <w:drawing>
          <wp:inline distT="0" distB="0" distL="0" distR="0" wp14:anchorId="45B9F91B" wp14:editId="3CB5C0B7">
            <wp:extent cx="3133425" cy="3960000"/>
            <wp:effectExtent l="0" t="0" r="0" b="254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3425" cy="3960000"/>
                    </a:xfrm>
                    <a:prstGeom prst="rect">
                      <a:avLst/>
                    </a:prstGeom>
                    <a:noFill/>
                    <a:ln>
                      <a:noFill/>
                    </a:ln>
                  </pic:spPr>
                </pic:pic>
              </a:graphicData>
            </a:graphic>
          </wp:inline>
        </w:drawing>
      </w:r>
    </w:p>
    <w:p w14:paraId="5C37F78A" w14:textId="68B4AD73" w:rsidR="00961E8D" w:rsidRDefault="0020157D" w:rsidP="0020157D">
      <w:pPr>
        <w:ind w:left="567" w:hanging="567"/>
        <w:rPr>
          <w:b/>
          <w:bCs/>
        </w:rPr>
      </w:pPr>
      <w:r w:rsidRPr="0020157D">
        <w:rPr>
          <w:b/>
          <w:bCs/>
          <w:sz w:val="18"/>
          <w:szCs w:val="18"/>
        </w:rPr>
        <w:t>Fonte: Elaborazione Centro Studi delle Camere di Commercio Guglielmo Tagliacarne</w:t>
      </w:r>
    </w:p>
    <w:p w14:paraId="65CE5F59" w14:textId="77777777" w:rsidR="00320D1C" w:rsidRDefault="00320D1C" w:rsidP="00320D1C">
      <w:pPr>
        <w:rPr>
          <w:b/>
          <w:bCs/>
        </w:rPr>
      </w:pPr>
    </w:p>
    <w:p w14:paraId="7C7C6087" w14:textId="30498C1B" w:rsidR="001C0C3B" w:rsidRPr="00C41670" w:rsidRDefault="001C0C3B" w:rsidP="00C41670">
      <w:pPr>
        <w:pStyle w:val="Titolo1"/>
        <w:numPr>
          <w:ilvl w:val="0"/>
          <w:numId w:val="4"/>
        </w:numPr>
        <w:rPr>
          <w:rFonts w:asciiTheme="minorHAnsi" w:hAnsiTheme="minorHAnsi" w:cstheme="minorHAnsi"/>
          <w:b/>
          <w:bCs/>
          <w:color w:val="auto"/>
          <w:sz w:val="28"/>
          <w:szCs w:val="28"/>
        </w:rPr>
      </w:pPr>
      <w:bookmarkStart w:id="2" w:name="_Toc113528110"/>
      <w:r w:rsidRPr="00C41670">
        <w:rPr>
          <w:rFonts w:asciiTheme="minorHAnsi" w:hAnsiTheme="minorHAnsi" w:cstheme="minorHAnsi"/>
          <w:b/>
          <w:bCs/>
          <w:color w:val="auto"/>
          <w:sz w:val="28"/>
          <w:szCs w:val="28"/>
        </w:rPr>
        <w:t>Il percorso di recupero: il confronto con il 2019</w:t>
      </w:r>
      <w:bookmarkEnd w:id="2"/>
    </w:p>
    <w:p w14:paraId="10378007" w14:textId="7DF2FE83" w:rsidR="00B756F1" w:rsidRDefault="00C56E41" w:rsidP="00C427E7">
      <w:pPr>
        <w:spacing w:before="200" w:after="0" w:line="276" w:lineRule="auto"/>
        <w:jc w:val="both"/>
        <w:rPr>
          <w:sz w:val="24"/>
          <w:szCs w:val="24"/>
        </w:rPr>
      </w:pPr>
      <w:r w:rsidRPr="001C0C3B">
        <w:rPr>
          <w:sz w:val="24"/>
          <w:szCs w:val="24"/>
        </w:rPr>
        <w:t>I progressi,</w:t>
      </w:r>
      <w:r w:rsidR="002D0F74" w:rsidRPr="001C0C3B">
        <w:rPr>
          <w:sz w:val="24"/>
          <w:szCs w:val="24"/>
        </w:rPr>
        <w:t xml:space="preserve"> sia pure molto consistent</w:t>
      </w:r>
      <w:r w:rsidRPr="001C0C3B">
        <w:rPr>
          <w:sz w:val="24"/>
          <w:szCs w:val="24"/>
        </w:rPr>
        <w:t>i</w:t>
      </w:r>
      <w:r w:rsidR="002D0F74" w:rsidRPr="001C0C3B">
        <w:rPr>
          <w:sz w:val="24"/>
          <w:szCs w:val="24"/>
        </w:rPr>
        <w:t xml:space="preserve"> realizzat</w:t>
      </w:r>
      <w:r w:rsidRPr="001C0C3B">
        <w:rPr>
          <w:sz w:val="24"/>
          <w:szCs w:val="24"/>
        </w:rPr>
        <w:t>i</w:t>
      </w:r>
      <w:r w:rsidR="002D0F74" w:rsidRPr="001C0C3B">
        <w:rPr>
          <w:sz w:val="24"/>
          <w:szCs w:val="24"/>
        </w:rPr>
        <w:t xml:space="preserve"> nel 2021</w:t>
      </w:r>
      <w:r w:rsidR="001C0C3B">
        <w:rPr>
          <w:sz w:val="24"/>
          <w:szCs w:val="24"/>
        </w:rPr>
        <w:t>,</w:t>
      </w:r>
      <w:r w:rsidR="002D0F74" w:rsidRPr="001C0C3B">
        <w:rPr>
          <w:sz w:val="24"/>
          <w:szCs w:val="24"/>
        </w:rPr>
        <w:t xml:space="preserve"> non ha</w:t>
      </w:r>
      <w:r w:rsidRPr="001C0C3B">
        <w:rPr>
          <w:sz w:val="24"/>
          <w:szCs w:val="24"/>
        </w:rPr>
        <w:t>nno</w:t>
      </w:r>
      <w:r w:rsidR="002D0F74" w:rsidRPr="001C0C3B">
        <w:rPr>
          <w:sz w:val="24"/>
          <w:szCs w:val="24"/>
        </w:rPr>
        <w:t xml:space="preserve"> consentito di recuperare completamente le ingenti perdite occorse nel 2020</w:t>
      </w:r>
      <w:r w:rsidR="002253BA" w:rsidRPr="001C0C3B">
        <w:rPr>
          <w:sz w:val="24"/>
          <w:szCs w:val="24"/>
        </w:rPr>
        <w:t xml:space="preserve"> o meglio ha consentito di farlo solo in determinati contesti</w:t>
      </w:r>
      <w:r w:rsidR="00181FE8" w:rsidRPr="001C0C3B">
        <w:rPr>
          <w:sz w:val="24"/>
          <w:szCs w:val="24"/>
        </w:rPr>
        <w:t xml:space="preserve"> territoriali</w:t>
      </w:r>
      <w:r w:rsidR="002D0F74" w:rsidRPr="001C0C3B">
        <w:rPr>
          <w:sz w:val="24"/>
          <w:szCs w:val="24"/>
        </w:rPr>
        <w:t xml:space="preserve">. </w:t>
      </w:r>
      <w:r w:rsidR="002253BA" w:rsidRPr="001C0C3B">
        <w:rPr>
          <w:sz w:val="24"/>
          <w:szCs w:val="24"/>
        </w:rPr>
        <w:t xml:space="preserve">A livello nazionale il differenziale </w:t>
      </w:r>
      <w:r w:rsidR="00181FE8" w:rsidRPr="001C0C3B">
        <w:rPr>
          <w:sz w:val="24"/>
          <w:szCs w:val="24"/>
        </w:rPr>
        <w:t xml:space="preserve">negativo </w:t>
      </w:r>
      <w:r w:rsidR="002253BA" w:rsidRPr="001C0C3B">
        <w:rPr>
          <w:sz w:val="24"/>
          <w:szCs w:val="24"/>
        </w:rPr>
        <w:t xml:space="preserve">fra valore aggiunto 2019 e quello del 2021 ammonta ancora a 1,2 punti percentuali </w:t>
      </w:r>
      <w:r w:rsidR="00C075F2" w:rsidRPr="001C0C3B">
        <w:rPr>
          <w:sz w:val="24"/>
          <w:szCs w:val="24"/>
        </w:rPr>
        <w:t xml:space="preserve">con le sole Isole che hanno già recuperato le posizioni precedenti la pandemia avvantaggiandosi del fatto che alla fine il bilancio del 2020 è stato molto </w:t>
      </w:r>
      <w:r w:rsidR="004B5339">
        <w:rPr>
          <w:sz w:val="24"/>
          <w:szCs w:val="24"/>
        </w:rPr>
        <w:t xml:space="preserve">meno penalizzante per il </w:t>
      </w:r>
      <w:r w:rsidR="00C075F2" w:rsidRPr="001C0C3B">
        <w:rPr>
          <w:sz w:val="24"/>
          <w:szCs w:val="24"/>
        </w:rPr>
        <w:t xml:space="preserve">Mezzogiorno (-5,8%) rispetto al Centro-Nord (-7,2%). A livello di regione </w:t>
      </w:r>
      <w:r w:rsidR="002253BA" w:rsidRPr="001C0C3B">
        <w:rPr>
          <w:sz w:val="24"/>
          <w:szCs w:val="24"/>
        </w:rPr>
        <w:t>sono già ritornate sulle posizioni pre</w:t>
      </w:r>
      <w:r w:rsidR="00181FE8" w:rsidRPr="001C0C3B">
        <w:rPr>
          <w:sz w:val="24"/>
          <w:szCs w:val="24"/>
        </w:rPr>
        <w:t>-</w:t>
      </w:r>
      <w:r w:rsidR="002253BA" w:rsidRPr="001C0C3B">
        <w:rPr>
          <w:sz w:val="24"/>
          <w:szCs w:val="24"/>
        </w:rPr>
        <w:t xml:space="preserve">pandemia </w:t>
      </w:r>
      <w:r w:rsidR="00C075F2" w:rsidRPr="001C0C3B">
        <w:rPr>
          <w:sz w:val="24"/>
          <w:szCs w:val="24"/>
        </w:rPr>
        <w:t>quattro</w:t>
      </w:r>
      <w:r w:rsidR="002253BA" w:rsidRPr="001C0C3B">
        <w:rPr>
          <w:sz w:val="24"/>
          <w:szCs w:val="24"/>
        </w:rPr>
        <w:t xml:space="preserve"> aree: Liguria, Umbria (la regione con il bilancio migliore), Campania e Sicilia</w:t>
      </w:r>
      <w:r w:rsidR="004B5339">
        <w:rPr>
          <w:sz w:val="24"/>
          <w:szCs w:val="24"/>
        </w:rPr>
        <w:t xml:space="preserve">, mentre a </w:t>
      </w:r>
      <w:r w:rsidR="00181FE8" w:rsidRPr="001C0C3B">
        <w:rPr>
          <w:sz w:val="24"/>
          <w:szCs w:val="24"/>
        </w:rPr>
        <w:t xml:space="preserve">livello </w:t>
      </w:r>
      <w:r w:rsidR="004B5339">
        <w:rPr>
          <w:sz w:val="24"/>
          <w:szCs w:val="24"/>
        </w:rPr>
        <w:t>provinciale</w:t>
      </w:r>
      <w:r w:rsidR="00181FE8" w:rsidRPr="001C0C3B">
        <w:rPr>
          <w:sz w:val="24"/>
          <w:szCs w:val="24"/>
        </w:rPr>
        <w:t xml:space="preserve"> </w:t>
      </w:r>
      <w:r w:rsidR="002D0F74" w:rsidRPr="001C0C3B">
        <w:rPr>
          <w:sz w:val="24"/>
          <w:szCs w:val="24"/>
        </w:rPr>
        <w:t xml:space="preserve">il recupero è avvenuto in un numero di territori piuttosto limitato. Sono, infatti, solamente 22 le province/città metropolitane che hanno chiuso con livelli complessivi di valore aggiunto superiori a quelli del 2019. Dove si collocano questi territori? </w:t>
      </w:r>
      <w:r w:rsidR="00C075F2" w:rsidRPr="001C0C3B">
        <w:rPr>
          <w:sz w:val="24"/>
          <w:szCs w:val="24"/>
        </w:rPr>
        <w:t>B</w:t>
      </w:r>
      <w:r w:rsidR="002D0F74" w:rsidRPr="001C0C3B">
        <w:rPr>
          <w:sz w:val="24"/>
          <w:szCs w:val="24"/>
        </w:rPr>
        <w:t xml:space="preserve">en 13 </w:t>
      </w:r>
      <w:r w:rsidR="0021014F">
        <w:rPr>
          <w:sz w:val="24"/>
          <w:szCs w:val="24"/>
        </w:rPr>
        <w:t xml:space="preserve">di questi territori </w:t>
      </w:r>
      <w:r w:rsidR="002D0F74" w:rsidRPr="001C0C3B">
        <w:rPr>
          <w:sz w:val="24"/>
          <w:szCs w:val="24"/>
        </w:rPr>
        <w:t>sono del Mezzogiorno</w:t>
      </w:r>
      <w:r w:rsidR="00C075F2" w:rsidRPr="001C0C3B">
        <w:rPr>
          <w:sz w:val="24"/>
          <w:szCs w:val="24"/>
        </w:rPr>
        <w:t xml:space="preserve"> (anche se sarebbe più corretto dire</w:t>
      </w:r>
      <w:r w:rsidR="001008E3" w:rsidRPr="001C0C3B">
        <w:rPr>
          <w:sz w:val="24"/>
          <w:szCs w:val="24"/>
        </w:rPr>
        <w:t xml:space="preserve"> </w:t>
      </w:r>
      <w:r w:rsidR="0021014F">
        <w:rPr>
          <w:sz w:val="24"/>
          <w:szCs w:val="24"/>
        </w:rPr>
        <w:t xml:space="preserve">in </w:t>
      </w:r>
      <w:r w:rsidR="001008E3" w:rsidRPr="001C0C3B">
        <w:rPr>
          <w:sz w:val="24"/>
          <w:szCs w:val="24"/>
        </w:rPr>
        <w:t>Campania e Sicilia)</w:t>
      </w:r>
      <w:r w:rsidR="002D0F74" w:rsidRPr="001C0C3B">
        <w:rPr>
          <w:sz w:val="24"/>
          <w:szCs w:val="24"/>
        </w:rPr>
        <w:t xml:space="preserve"> </w:t>
      </w:r>
      <w:r w:rsidR="001008E3" w:rsidRPr="001C0C3B">
        <w:rPr>
          <w:sz w:val="24"/>
          <w:szCs w:val="24"/>
        </w:rPr>
        <w:t xml:space="preserve">con Enna </w:t>
      </w:r>
      <w:r w:rsidR="00F715DE" w:rsidRPr="001C0C3B">
        <w:rPr>
          <w:sz w:val="24"/>
          <w:szCs w:val="24"/>
        </w:rPr>
        <w:t xml:space="preserve">che si colloca al primo posto fra le province più performanti fra 2019 e 2021 in una classifica che vede nei primi sette posti solo </w:t>
      </w:r>
      <w:r w:rsidR="00F715DE" w:rsidRPr="001C0C3B">
        <w:rPr>
          <w:sz w:val="24"/>
          <w:szCs w:val="24"/>
        </w:rPr>
        <w:lastRenderedPageBreak/>
        <w:t>province del Mezzogiorno</w:t>
      </w:r>
      <w:r w:rsidR="000642D6" w:rsidRPr="001C0C3B">
        <w:rPr>
          <w:sz w:val="24"/>
          <w:szCs w:val="24"/>
        </w:rPr>
        <w:t xml:space="preserve">. Le altre </w:t>
      </w:r>
      <w:r w:rsidR="00C075F2" w:rsidRPr="001C0C3B">
        <w:rPr>
          <w:sz w:val="24"/>
          <w:szCs w:val="24"/>
        </w:rPr>
        <w:t>nove</w:t>
      </w:r>
      <w:r w:rsidR="000642D6" w:rsidRPr="001C0C3B">
        <w:rPr>
          <w:sz w:val="24"/>
          <w:szCs w:val="24"/>
        </w:rPr>
        <w:t xml:space="preserve"> realtà che hanno completato la rimonta si concentrano in Liguria (dove la sola Imperia non è tornata ai precedenti valori), in Umbria (riguardando entrambe le province), Il Lazio (con solo Roma e Rieti che hanno mancato l’obiettivo del recupero) e in Veneto dove si segnala Treviso. Per quanto concerne, invece, le 85 province</w:t>
      </w:r>
      <w:r w:rsidR="001008E3" w:rsidRPr="001C0C3B">
        <w:rPr>
          <w:sz w:val="24"/>
          <w:szCs w:val="24"/>
        </w:rPr>
        <w:t xml:space="preserve"> che ancora non hanno completato il processo di ritorno ai livelli pre</w:t>
      </w:r>
      <w:r w:rsidR="0021014F">
        <w:rPr>
          <w:sz w:val="24"/>
          <w:szCs w:val="24"/>
        </w:rPr>
        <w:t>-</w:t>
      </w:r>
      <w:r w:rsidR="001008E3" w:rsidRPr="001C0C3B">
        <w:rPr>
          <w:sz w:val="24"/>
          <w:szCs w:val="24"/>
        </w:rPr>
        <w:t>covid è possibile</w:t>
      </w:r>
      <w:r w:rsidR="000642D6" w:rsidRPr="001C0C3B">
        <w:rPr>
          <w:sz w:val="24"/>
          <w:szCs w:val="24"/>
        </w:rPr>
        <w:t xml:space="preserve"> classificarle in due grandi gruppi: quelle che presentano un ritardo rispetto al 2019 fino al</w:t>
      </w:r>
      <w:r w:rsidR="00181FE8" w:rsidRPr="001C0C3B">
        <w:rPr>
          <w:sz w:val="24"/>
          <w:szCs w:val="24"/>
        </w:rPr>
        <w:t>l’1,</w:t>
      </w:r>
      <w:r w:rsidR="000642D6" w:rsidRPr="001C0C3B">
        <w:rPr>
          <w:sz w:val="24"/>
          <w:szCs w:val="24"/>
        </w:rPr>
        <w:t xml:space="preserve">2% </w:t>
      </w:r>
      <w:r w:rsidR="00181FE8" w:rsidRPr="001C0C3B">
        <w:rPr>
          <w:sz w:val="24"/>
          <w:szCs w:val="24"/>
        </w:rPr>
        <w:t xml:space="preserve">(ovvero il deficit medio nazionale) </w:t>
      </w:r>
      <w:r w:rsidR="000642D6" w:rsidRPr="001C0C3B">
        <w:rPr>
          <w:sz w:val="24"/>
          <w:szCs w:val="24"/>
        </w:rPr>
        <w:t xml:space="preserve">e quelle che </w:t>
      </w:r>
      <w:r w:rsidR="00181FE8" w:rsidRPr="001C0C3B">
        <w:rPr>
          <w:sz w:val="24"/>
          <w:szCs w:val="24"/>
        </w:rPr>
        <w:t>hanno perdite superiori a questa soglia</w:t>
      </w:r>
      <w:r w:rsidR="000642D6" w:rsidRPr="001C0C3B">
        <w:rPr>
          <w:sz w:val="24"/>
          <w:szCs w:val="24"/>
        </w:rPr>
        <w:t xml:space="preserve">. </w:t>
      </w:r>
      <w:r w:rsidR="00B24E9D" w:rsidRPr="001C0C3B">
        <w:rPr>
          <w:sz w:val="24"/>
          <w:szCs w:val="24"/>
        </w:rPr>
        <w:t xml:space="preserve">In quest’ultimo gruppo (composto da </w:t>
      </w:r>
      <w:r w:rsidR="00181FE8" w:rsidRPr="001C0C3B">
        <w:rPr>
          <w:sz w:val="24"/>
          <w:szCs w:val="24"/>
        </w:rPr>
        <w:t>54</w:t>
      </w:r>
      <w:r w:rsidR="00B24E9D" w:rsidRPr="001C0C3B">
        <w:rPr>
          <w:sz w:val="24"/>
          <w:szCs w:val="24"/>
        </w:rPr>
        <w:t xml:space="preserve"> unità</w:t>
      </w:r>
      <w:r w:rsidR="00181FE8" w:rsidRPr="001C0C3B">
        <w:rPr>
          <w:sz w:val="24"/>
          <w:szCs w:val="24"/>
        </w:rPr>
        <w:t xml:space="preserve"> il che significa che oltre la metà delle province italiane ha ritardi rispetto al 2019 superiori alla media nazionale</w:t>
      </w:r>
      <w:r w:rsidR="00B24E9D" w:rsidRPr="001C0C3B">
        <w:rPr>
          <w:sz w:val="24"/>
          <w:szCs w:val="24"/>
        </w:rPr>
        <w:t>)</w:t>
      </w:r>
      <w:r w:rsidR="001008E3" w:rsidRPr="001C0C3B">
        <w:rPr>
          <w:sz w:val="24"/>
          <w:szCs w:val="24"/>
        </w:rPr>
        <w:t>,</w:t>
      </w:r>
      <w:r w:rsidR="00B24E9D" w:rsidRPr="001C0C3B">
        <w:rPr>
          <w:sz w:val="24"/>
          <w:szCs w:val="24"/>
        </w:rPr>
        <w:t xml:space="preserve"> il Sud in difficoltà </w:t>
      </w:r>
      <w:r w:rsidR="001008E3" w:rsidRPr="001C0C3B">
        <w:rPr>
          <w:sz w:val="24"/>
          <w:szCs w:val="24"/>
        </w:rPr>
        <w:t xml:space="preserve">si concentra essenzialmente in </w:t>
      </w:r>
      <w:r w:rsidR="00181FE8" w:rsidRPr="001C0C3B">
        <w:rPr>
          <w:sz w:val="24"/>
          <w:szCs w:val="24"/>
        </w:rPr>
        <w:t>tutta la fascia adriatica che parte da Teramo e arriva fino a Brindisi a cui si a</w:t>
      </w:r>
      <w:r w:rsidR="0021014F">
        <w:rPr>
          <w:sz w:val="24"/>
          <w:szCs w:val="24"/>
        </w:rPr>
        <w:t>ggiungono</w:t>
      </w:r>
      <w:r w:rsidR="00181FE8" w:rsidRPr="001C0C3B">
        <w:rPr>
          <w:sz w:val="24"/>
          <w:szCs w:val="24"/>
        </w:rPr>
        <w:t xml:space="preserve"> L’Aquila, Isernia (il che significa che tutto l’Abruzzo e tutto il Molise sono piuttosto in difficoltà)</w:t>
      </w:r>
      <w:r w:rsidR="001008E3" w:rsidRPr="001C0C3B">
        <w:rPr>
          <w:sz w:val="24"/>
          <w:szCs w:val="24"/>
        </w:rPr>
        <w:t>,</w:t>
      </w:r>
      <w:r w:rsidR="00181FE8" w:rsidRPr="001C0C3B">
        <w:rPr>
          <w:sz w:val="24"/>
          <w:szCs w:val="24"/>
        </w:rPr>
        <w:t xml:space="preserve"> Potenza</w:t>
      </w:r>
      <w:r w:rsidR="001008E3" w:rsidRPr="001C0C3B">
        <w:rPr>
          <w:sz w:val="24"/>
          <w:szCs w:val="24"/>
        </w:rPr>
        <w:t xml:space="preserve"> (a cui quindi un eccellente 2021 non è comunque bastato)</w:t>
      </w:r>
      <w:r w:rsidR="00181FE8" w:rsidRPr="001C0C3B">
        <w:rPr>
          <w:sz w:val="24"/>
          <w:szCs w:val="24"/>
        </w:rPr>
        <w:t xml:space="preserve">, Cosenza, Reggio di Calabria e Vibo Valentia. </w:t>
      </w:r>
      <w:r w:rsidR="00B24E9D" w:rsidRPr="001C0C3B">
        <w:rPr>
          <w:sz w:val="24"/>
          <w:szCs w:val="24"/>
        </w:rPr>
        <w:t xml:space="preserve">Le aree del Nord che appaiono ancora lungi dal tornare ai livelli del 2019 vedono una larghissima presenza del Triveneto </w:t>
      </w:r>
      <w:r w:rsidR="00F715DE" w:rsidRPr="001C0C3B">
        <w:rPr>
          <w:sz w:val="24"/>
          <w:szCs w:val="24"/>
        </w:rPr>
        <w:t>(</w:t>
      </w:r>
      <w:r w:rsidR="00181FE8" w:rsidRPr="001C0C3B">
        <w:rPr>
          <w:sz w:val="24"/>
          <w:szCs w:val="24"/>
        </w:rPr>
        <w:t>9</w:t>
      </w:r>
      <w:r w:rsidR="00F715DE" w:rsidRPr="001C0C3B">
        <w:rPr>
          <w:sz w:val="24"/>
          <w:szCs w:val="24"/>
        </w:rPr>
        <w:t xml:space="preserve"> delle 13 province dell’area sono ancora</w:t>
      </w:r>
      <w:r w:rsidR="001008E3" w:rsidRPr="001C0C3B">
        <w:rPr>
          <w:sz w:val="24"/>
          <w:szCs w:val="24"/>
        </w:rPr>
        <w:t xml:space="preserve"> in forte </w:t>
      </w:r>
      <w:r w:rsidR="006217F3" w:rsidRPr="001C0C3B">
        <w:rPr>
          <w:sz w:val="24"/>
          <w:szCs w:val="24"/>
        </w:rPr>
        <w:t>deficit</w:t>
      </w:r>
      <w:r w:rsidR="00F715DE" w:rsidRPr="001C0C3B">
        <w:rPr>
          <w:sz w:val="24"/>
          <w:szCs w:val="24"/>
        </w:rPr>
        <w:t xml:space="preserve"> tra cui Bolzano/Bozen che</w:t>
      </w:r>
      <w:r w:rsidR="006217F3" w:rsidRPr="001C0C3B">
        <w:rPr>
          <w:sz w:val="24"/>
          <w:szCs w:val="24"/>
        </w:rPr>
        <w:t xml:space="preserve"> </w:t>
      </w:r>
      <w:r w:rsidR="00F715DE" w:rsidRPr="001C0C3B">
        <w:rPr>
          <w:sz w:val="24"/>
          <w:szCs w:val="24"/>
        </w:rPr>
        <w:t>con un bilancio di -5,3% è la provincia che evidenzia il maggiore ritardo di tutto il paese) a cui si addiziona</w:t>
      </w:r>
      <w:r w:rsidR="00127EF3" w:rsidRPr="001C0C3B">
        <w:rPr>
          <w:sz w:val="24"/>
          <w:szCs w:val="24"/>
        </w:rPr>
        <w:t xml:space="preserve"> una consistente fett</w:t>
      </w:r>
      <w:r w:rsidR="00E55E2E">
        <w:rPr>
          <w:sz w:val="24"/>
          <w:szCs w:val="24"/>
        </w:rPr>
        <w:t>a</w:t>
      </w:r>
      <w:r w:rsidR="00127EF3" w:rsidRPr="001C0C3B">
        <w:rPr>
          <w:sz w:val="24"/>
          <w:szCs w:val="24"/>
        </w:rPr>
        <w:t xml:space="preserve"> di Emilia (Piacenza, Modena e Bologna) e tutta la Romagna. Nel resto del Nord appare in grossa difficoltà gran parte della Lombardia (</w:t>
      </w:r>
      <w:r w:rsidR="006217F3" w:rsidRPr="001C0C3B">
        <w:rPr>
          <w:sz w:val="24"/>
          <w:szCs w:val="24"/>
        </w:rPr>
        <w:t>sette</w:t>
      </w:r>
      <w:r w:rsidR="00127EF3" w:rsidRPr="001C0C3B">
        <w:rPr>
          <w:sz w:val="24"/>
          <w:szCs w:val="24"/>
        </w:rPr>
        <w:t xml:space="preserve"> province tra cui la vecchia </w:t>
      </w:r>
      <w:r w:rsidR="001008E3" w:rsidRPr="001C0C3B">
        <w:rPr>
          <w:sz w:val="24"/>
          <w:szCs w:val="24"/>
        </w:rPr>
        <w:t>conformazione</w:t>
      </w:r>
      <w:r w:rsidR="00127EF3" w:rsidRPr="001C0C3B">
        <w:rPr>
          <w:sz w:val="24"/>
          <w:szCs w:val="24"/>
        </w:rPr>
        <w:t xml:space="preserve"> di Milano ovvero le attuali Milano e Monza e della Brianza e la fascia padana lombarda con l’esclusione di Lodi</w:t>
      </w:r>
      <w:r w:rsidR="005B1E56" w:rsidRPr="001C0C3B">
        <w:rPr>
          <w:sz w:val="24"/>
          <w:szCs w:val="24"/>
        </w:rPr>
        <w:t>)</w:t>
      </w:r>
      <w:r w:rsidR="00127EF3" w:rsidRPr="001C0C3B">
        <w:rPr>
          <w:sz w:val="24"/>
          <w:szCs w:val="24"/>
        </w:rPr>
        <w:t xml:space="preserve">. </w:t>
      </w:r>
      <w:r w:rsidR="00F715DE" w:rsidRPr="001C0C3B">
        <w:rPr>
          <w:sz w:val="24"/>
          <w:szCs w:val="24"/>
        </w:rPr>
        <w:t xml:space="preserve">Nell’Italia Centrale forte difficoltà </w:t>
      </w:r>
      <w:r w:rsidR="00127EF3" w:rsidRPr="001C0C3B">
        <w:rPr>
          <w:sz w:val="24"/>
          <w:szCs w:val="24"/>
        </w:rPr>
        <w:t xml:space="preserve">si avverte a Roma, </w:t>
      </w:r>
      <w:r w:rsidR="00F715DE" w:rsidRPr="001C0C3B">
        <w:rPr>
          <w:sz w:val="24"/>
          <w:szCs w:val="24"/>
        </w:rPr>
        <w:t xml:space="preserve">in </w:t>
      </w:r>
      <w:r w:rsidR="00127EF3" w:rsidRPr="001C0C3B">
        <w:rPr>
          <w:sz w:val="24"/>
          <w:szCs w:val="24"/>
        </w:rPr>
        <w:t xml:space="preserve">tutte le nove province </w:t>
      </w:r>
      <w:r w:rsidR="00F715DE" w:rsidRPr="001C0C3B">
        <w:rPr>
          <w:sz w:val="24"/>
          <w:szCs w:val="24"/>
        </w:rPr>
        <w:t>della Toscana</w:t>
      </w:r>
      <w:r w:rsidR="00127EF3" w:rsidRPr="001C0C3B">
        <w:rPr>
          <w:sz w:val="24"/>
          <w:szCs w:val="24"/>
        </w:rPr>
        <w:t xml:space="preserve"> e in gran parte delle Marche (unica eccezione Pesaro e Urbino) il che di fatto estende le difficoltà di quell’</w:t>
      </w:r>
      <w:r w:rsidR="00F715DE" w:rsidRPr="001C0C3B">
        <w:rPr>
          <w:sz w:val="24"/>
          <w:szCs w:val="24"/>
        </w:rPr>
        <w:t xml:space="preserve">asse </w:t>
      </w:r>
      <w:r w:rsidR="00127EF3" w:rsidRPr="001C0C3B">
        <w:rPr>
          <w:sz w:val="24"/>
          <w:szCs w:val="24"/>
        </w:rPr>
        <w:t>adriatico</w:t>
      </w:r>
      <w:r w:rsidR="00F715DE" w:rsidRPr="001C0C3B">
        <w:rPr>
          <w:sz w:val="24"/>
          <w:szCs w:val="24"/>
        </w:rPr>
        <w:t xml:space="preserve"> di cui si è </w:t>
      </w:r>
      <w:r w:rsidR="00320D1C">
        <w:rPr>
          <w:sz w:val="24"/>
          <w:szCs w:val="24"/>
        </w:rPr>
        <w:t xml:space="preserve">già </w:t>
      </w:r>
      <w:r w:rsidR="00F715DE" w:rsidRPr="001C0C3B">
        <w:rPr>
          <w:sz w:val="24"/>
          <w:szCs w:val="24"/>
        </w:rPr>
        <w:t xml:space="preserve">fatto cenno. </w:t>
      </w:r>
      <w:r w:rsidR="00146EF6" w:rsidRPr="001C0C3B">
        <w:rPr>
          <w:sz w:val="24"/>
          <w:szCs w:val="24"/>
        </w:rPr>
        <w:t xml:space="preserve">Anche nel caso delle variazioni di lungo periodo si evidenzia una </w:t>
      </w:r>
      <w:r w:rsidR="006217F3" w:rsidRPr="001C0C3B">
        <w:rPr>
          <w:sz w:val="24"/>
          <w:szCs w:val="24"/>
        </w:rPr>
        <w:t xml:space="preserve">forte </w:t>
      </w:r>
      <w:r w:rsidR="00146EF6" w:rsidRPr="001C0C3B">
        <w:rPr>
          <w:sz w:val="24"/>
          <w:szCs w:val="24"/>
        </w:rPr>
        <w:t>eterogenei</w:t>
      </w:r>
      <w:r w:rsidR="006217F3" w:rsidRPr="001C0C3B">
        <w:rPr>
          <w:sz w:val="24"/>
          <w:szCs w:val="24"/>
        </w:rPr>
        <w:t>tà degli andamenti</w:t>
      </w:r>
      <w:r w:rsidR="00146EF6" w:rsidRPr="001C0C3B">
        <w:rPr>
          <w:sz w:val="24"/>
          <w:szCs w:val="24"/>
        </w:rPr>
        <w:t xml:space="preserve"> nel Mezzogiorno rispetto al resto del territorio. </w:t>
      </w:r>
      <w:r w:rsidR="006217F3" w:rsidRPr="001C0C3B">
        <w:rPr>
          <w:sz w:val="24"/>
          <w:szCs w:val="24"/>
        </w:rPr>
        <w:t>E</w:t>
      </w:r>
      <w:r w:rsidR="00146EF6" w:rsidRPr="001C0C3B">
        <w:rPr>
          <w:sz w:val="24"/>
          <w:szCs w:val="24"/>
        </w:rPr>
        <w:t>terogeneità</w:t>
      </w:r>
      <w:r w:rsidR="006217F3" w:rsidRPr="001C0C3B">
        <w:rPr>
          <w:sz w:val="24"/>
          <w:szCs w:val="24"/>
        </w:rPr>
        <w:t xml:space="preserve"> che di fatto è già trapelata allorquando si è evidenziato che le province che hanno superato la crisi sono solo in due regioni e che misurata in termini di coefficiente di variazione </w:t>
      </w:r>
      <w:r w:rsidR="006217F3" w:rsidRPr="00B756F1">
        <w:rPr>
          <w:i/>
          <w:iCs/>
          <w:sz w:val="24"/>
          <w:szCs w:val="24"/>
        </w:rPr>
        <w:t>l’eterogeneità del Mezzogiorno è cinque volte superiore a quella del Nord</w:t>
      </w:r>
      <w:r w:rsidR="006217F3" w:rsidRPr="001C0C3B">
        <w:rPr>
          <w:sz w:val="24"/>
          <w:szCs w:val="24"/>
        </w:rPr>
        <w:t>.</w:t>
      </w:r>
      <w:r w:rsidR="00731FDC" w:rsidRPr="001C0C3B">
        <w:rPr>
          <w:sz w:val="24"/>
          <w:szCs w:val="24"/>
        </w:rPr>
        <w:t xml:space="preserve"> </w:t>
      </w:r>
    </w:p>
    <w:p w14:paraId="360E2728" w14:textId="2E3F6CBE" w:rsidR="006217F3" w:rsidRDefault="00731FDC" w:rsidP="005E3E30">
      <w:pPr>
        <w:spacing w:after="200" w:line="276" w:lineRule="auto"/>
        <w:jc w:val="both"/>
        <w:rPr>
          <w:sz w:val="24"/>
          <w:szCs w:val="24"/>
        </w:rPr>
      </w:pPr>
      <w:r w:rsidRPr="001C0C3B">
        <w:rPr>
          <w:sz w:val="24"/>
          <w:szCs w:val="24"/>
        </w:rPr>
        <w:t xml:space="preserve">Per </w:t>
      </w:r>
      <w:r w:rsidR="00EB7856" w:rsidRPr="001C0C3B">
        <w:rPr>
          <w:sz w:val="24"/>
          <w:szCs w:val="24"/>
        </w:rPr>
        <w:t>nove province</w:t>
      </w:r>
      <w:r w:rsidRPr="001C0C3B">
        <w:rPr>
          <w:sz w:val="24"/>
          <w:szCs w:val="24"/>
        </w:rPr>
        <w:t xml:space="preserve"> il ritorno ai livelli pre-pandemici ha significato</w:t>
      </w:r>
      <w:r w:rsidR="00B05D11">
        <w:rPr>
          <w:sz w:val="24"/>
          <w:szCs w:val="24"/>
        </w:rPr>
        <w:t xml:space="preserve"> </w:t>
      </w:r>
      <w:r w:rsidR="00EB7856" w:rsidRPr="001C0C3B">
        <w:rPr>
          <w:sz w:val="24"/>
          <w:szCs w:val="24"/>
        </w:rPr>
        <w:t xml:space="preserve">anche il conseguimento del record storico di valore aggiunto in termini correnti. In questo insieme appare fortemente rappresentata la Campania </w:t>
      </w:r>
      <w:r w:rsidR="008575E1">
        <w:rPr>
          <w:sz w:val="24"/>
          <w:szCs w:val="24"/>
        </w:rPr>
        <w:t xml:space="preserve">con </w:t>
      </w:r>
      <w:r w:rsidR="00EB7856" w:rsidRPr="001C0C3B">
        <w:rPr>
          <w:sz w:val="24"/>
          <w:szCs w:val="24"/>
        </w:rPr>
        <w:t>la presenza di Caserta, Napoli e Salerno</w:t>
      </w:r>
      <w:r w:rsidR="00B05D11">
        <w:rPr>
          <w:sz w:val="24"/>
          <w:szCs w:val="24"/>
        </w:rPr>
        <w:t>,</w:t>
      </w:r>
      <w:r w:rsidR="00EB7856" w:rsidRPr="001C0C3B">
        <w:rPr>
          <w:sz w:val="24"/>
          <w:szCs w:val="24"/>
        </w:rPr>
        <w:t xml:space="preserve"> a cui si aggiungono</w:t>
      </w:r>
      <w:r w:rsidR="008575E1">
        <w:rPr>
          <w:sz w:val="24"/>
          <w:szCs w:val="24"/>
        </w:rPr>
        <w:t>,</w:t>
      </w:r>
      <w:r w:rsidR="00EB7856" w:rsidRPr="001C0C3B">
        <w:rPr>
          <w:sz w:val="24"/>
          <w:szCs w:val="24"/>
        </w:rPr>
        <w:t xml:space="preserve"> rimanendo nei “paraggi”</w:t>
      </w:r>
      <w:r w:rsidR="008575E1">
        <w:rPr>
          <w:sz w:val="24"/>
          <w:szCs w:val="24"/>
        </w:rPr>
        <w:t>,</w:t>
      </w:r>
      <w:r w:rsidR="00EB7856" w:rsidRPr="001C0C3B">
        <w:rPr>
          <w:sz w:val="24"/>
          <w:szCs w:val="24"/>
        </w:rPr>
        <w:t xml:space="preserve"> anche Latina e Frosinone mentre salendo lo Stivale si incontrano Perugia, Treviso e l’accoppiata del levante Ligure Genova-La Spezia. Viceversa</w:t>
      </w:r>
      <w:r w:rsidR="004B1924" w:rsidRPr="001C0C3B">
        <w:rPr>
          <w:sz w:val="24"/>
          <w:szCs w:val="24"/>
        </w:rPr>
        <w:t>,</w:t>
      </w:r>
      <w:r w:rsidR="00EB7856" w:rsidRPr="001C0C3B">
        <w:rPr>
          <w:sz w:val="24"/>
          <w:szCs w:val="24"/>
        </w:rPr>
        <w:t xml:space="preserve"> appare decisamente critico il quadro di altre 26 province (il cui elenco è riportato nella successiva Tab.1) per le quali la pandemia si è andata ad innestare in un quadro economico già</w:t>
      </w:r>
      <w:r w:rsidR="004B1924" w:rsidRPr="001C0C3B">
        <w:rPr>
          <w:sz w:val="24"/>
          <w:szCs w:val="24"/>
        </w:rPr>
        <w:t xml:space="preserve"> fortemente deteriorato dalla precedente fase recessiva. </w:t>
      </w:r>
    </w:p>
    <w:p w14:paraId="523B760F" w14:textId="23AEF157" w:rsidR="00652BF3" w:rsidRDefault="00652BF3" w:rsidP="005E3E30">
      <w:pPr>
        <w:spacing w:after="200" w:line="276" w:lineRule="auto"/>
        <w:jc w:val="both"/>
        <w:rPr>
          <w:sz w:val="24"/>
          <w:szCs w:val="24"/>
        </w:rPr>
      </w:pPr>
    </w:p>
    <w:p w14:paraId="096D6DAD" w14:textId="46153BDF" w:rsidR="00652BF3" w:rsidRDefault="00652BF3" w:rsidP="005E3E30">
      <w:pPr>
        <w:spacing w:after="200" w:line="276" w:lineRule="auto"/>
        <w:jc w:val="both"/>
        <w:rPr>
          <w:sz w:val="24"/>
          <w:szCs w:val="24"/>
        </w:rPr>
      </w:pPr>
    </w:p>
    <w:p w14:paraId="37A6B26E" w14:textId="1117E654" w:rsidR="00652BF3" w:rsidRDefault="00652BF3" w:rsidP="005E3E30">
      <w:pPr>
        <w:spacing w:after="200" w:line="276" w:lineRule="auto"/>
        <w:jc w:val="both"/>
        <w:rPr>
          <w:sz w:val="24"/>
          <w:szCs w:val="24"/>
        </w:rPr>
      </w:pPr>
    </w:p>
    <w:p w14:paraId="5CEBD91D" w14:textId="5EF51B01" w:rsidR="00652BF3" w:rsidRDefault="00652BF3" w:rsidP="005E3E30">
      <w:pPr>
        <w:spacing w:after="200" w:line="276" w:lineRule="auto"/>
        <w:jc w:val="both"/>
        <w:rPr>
          <w:sz w:val="24"/>
          <w:szCs w:val="24"/>
        </w:rPr>
      </w:pPr>
    </w:p>
    <w:p w14:paraId="31E8F796" w14:textId="0759969B" w:rsidR="00652BF3" w:rsidRDefault="00652BF3" w:rsidP="005E3E30">
      <w:pPr>
        <w:spacing w:after="200" w:line="276" w:lineRule="auto"/>
        <w:jc w:val="both"/>
        <w:rPr>
          <w:sz w:val="24"/>
          <w:szCs w:val="24"/>
        </w:rPr>
      </w:pPr>
    </w:p>
    <w:p w14:paraId="29FC3981" w14:textId="77777777" w:rsidR="00652BF3" w:rsidRDefault="00652BF3" w:rsidP="00BE71F3">
      <w:pPr>
        <w:spacing w:after="0" w:line="240" w:lineRule="auto"/>
        <w:rPr>
          <w:sz w:val="24"/>
          <w:szCs w:val="24"/>
        </w:rPr>
      </w:pPr>
    </w:p>
    <w:p w14:paraId="7DA45382" w14:textId="5727B94A" w:rsidR="00BE71F3" w:rsidRPr="0020157D" w:rsidRDefault="00BE71F3" w:rsidP="00BE71F3">
      <w:pPr>
        <w:spacing w:after="0" w:line="240" w:lineRule="auto"/>
        <w:rPr>
          <w:b/>
          <w:bCs/>
          <w:sz w:val="18"/>
          <w:szCs w:val="18"/>
        </w:rPr>
      </w:pPr>
      <w:r w:rsidRPr="0020157D">
        <w:rPr>
          <w:b/>
          <w:bCs/>
          <w:sz w:val="18"/>
          <w:szCs w:val="18"/>
        </w:rPr>
        <w:t>Fig.</w:t>
      </w:r>
      <w:r>
        <w:rPr>
          <w:b/>
          <w:bCs/>
          <w:sz w:val="18"/>
          <w:szCs w:val="18"/>
        </w:rPr>
        <w:t>2</w:t>
      </w:r>
      <w:r w:rsidRPr="0020157D">
        <w:rPr>
          <w:b/>
          <w:bCs/>
          <w:sz w:val="18"/>
          <w:szCs w:val="18"/>
        </w:rPr>
        <w:t xml:space="preserve">-Variazione </w:t>
      </w:r>
      <w:r>
        <w:rPr>
          <w:b/>
          <w:bCs/>
          <w:sz w:val="18"/>
          <w:szCs w:val="18"/>
        </w:rPr>
        <w:t xml:space="preserve">percentuale </w:t>
      </w:r>
      <w:r w:rsidRPr="0020157D">
        <w:rPr>
          <w:b/>
          <w:bCs/>
          <w:sz w:val="18"/>
          <w:szCs w:val="18"/>
        </w:rPr>
        <w:t>del valore aggiunto a prezzi base e correnti fra 20</w:t>
      </w:r>
      <w:r>
        <w:rPr>
          <w:b/>
          <w:bCs/>
          <w:sz w:val="18"/>
          <w:szCs w:val="18"/>
        </w:rPr>
        <w:t>19</w:t>
      </w:r>
      <w:r w:rsidRPr="0020157D">
        <w:rPr>
          <w:b/>
          <w:bCs/>
          <w:sz w:val="18"/>
          <w:szCs w:val="18"/>
        </w:rPr>
        <w:t xml:space="preserve"> e 2021 nelle province italiane</w:t>
      </w:r>
    </w:p>
    <w:p w14:paraId="3C8EB3EB" w14:textId="6C499904" w:rsidR="00D77A09" w:rsidRDefault="005E3E30" w:rsidP="00FB6E25">
      <w:pPr>
        <w:spacing w:after="0" w:line="240" w:lineRule="auto"/>
        <w:jc w:val="center"/>
        <w:rPr>
          <w:b/>
          <w:bCs/>
          <w:sz w:val="18"/>
          <w:szCs w:val="18"/>
        </w:rPr>
      </w:pPr>
      <w:r>
        <w:rPr>
          <w:b/>
          <w:bCs/>
          <w:noProof/>
          <w:sz w:val="18"/>
          <w:szCs w:val="18"/>
          <w:lang w:eastAsia="it-IT"/>
        </w:rPr>
        <w:drawing>
          <wp:inline distT="0" distB="0" distL="0" distR="0" wp14:anchorId="5886B2B9" wp14:editId="708C3C7A">
            <wp:extent cx="3222510" cy="3960000"/>
            <wp:effectExtent l="0" t="0" r="0" b="254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2510" cy="3960000"/>
                    </a:xfrm>
                    <a:prstGeom prst="rect">
                      <a:avLst/>
                    </a:prstGeom>
                    <a:noFill/>
                    <a:ln>
                      <a:noFill/>
                    </a:ln>
                  </pic:spPr>
                </pic:pic>
              </a:graphicData>
            </a:graphic>
          </wp:inline>
        </w:drawing>
      </w:r>
    </w:p>
    <w:p w14:paraId="3D28F4D1" w14:textId="738DEEDD" w:rsidR="00731FDC" w:rsidRDefault="00731FDC" w:rsidP="00731FDC">
      <w:pPr>
        <w:spacing w:after="0" w:line="240" w:lineRule="auto"/>
        <w:ind w:left="567" w:hanging="567"/>
        <w:jc w:val="both"/>
        <w:rPr>
          <w:b/>
          <w:bCs/>
        </w:rPr>
      </w:pPr>
      <w:r w:rsidRPr="0020157D">
        <w:rPr>
          <w:b/>
          <w:bCs/>
          <w:sz w:val="18"/>
          <w:szCs w:val="18"/>
        </w:rPr>
        <w:t xml:space="preserve">Fonte: Elaborazione Centro Studi delle Camere di Commercio Guglielmo Tagliacarne </w:t>
      </w:r>
    </w:p>
    <w:p w14:paraId="3B1B5AC7" w14:textId="77777777" w:rsidR="00BE71F3" w:rsidRDefault="00BE71F3" w:rsidP="0020157D">
      <w:pPr>
        <w:spacing w:after="0" w:line="240" w:lineRule="auto"/>
        <w:rPr>
          <w:b/>
          <w:bCs/>
          <w:sz w:val="18"/>
          <w:szCs w:val="18"/>
        </w:rPr>
      </w:pPr>
    </w:p>
    <w:p w14:paraId="196A104A" w14:textId="0CCCB9B1" w:rsidR="00961E8D" w:rsidRPr="0020157D" w:rsidRDefault="00961E8D" w:rsidP="0020157D">
      <w:pPr>
        <w:spacing w:after="0" w:line="240" w:lineRule="auto"/>
        <w:rPr>
          <w:b/>
          <w:bCs/>
          <w:sz w:val="18"/>
          <w:szCs w:val="18"/>
        </w:rPr>
      </w:pPr>
      <w:r w:rsidRPr="0020157D">
        <w:rPr>
          <w:b/>
          <w:bCs/>
          <w:sz w:val="18"/>
          <w:szCs w:val="18"/>
        </w:rPr>
        <w:t>Fig.</w:t>
      </w:r>
      <w:r w:rsidR="00D77A09">
        <w:rPr>
          <w:b/>
          <w:bCs/>
          <w:sz w:val="18"/>
          <w:szCs w:val="18"/>
        </w:rPr>
        <w:t>3</w:t>
      </w:r>
      <w:r w:rsidRPr="0020157D">
        <w:rPr>
          <w:b/>
          <w:bCs/>
          <w:sz w:val="18"/>
          <w:szCs w:val="18"/>
        </w:rPr>
        <w:t xml:space="preserve">-Variazione </w:t>
      </w:r>
      <w:r w:rsidR="00731FDC">
        <w:rPr>
          <w:b/>
          <w:bCs/>
          <w:sz w:val="18"/>
          <w:szCs w:val="18"/>
        </w:rPr>
        <w:t xml:space="preserve">percentuale </w:t>
      </w:r>
      <w:r w:rsidRPr="0020157D">
        <w:rPr>
          <w:b/>
          <w:bCs/>
          <w:sz w:val="18"/>
          <w:szCs w:val="18"/>
        </w:rPr>
        <w:t>del valore aggiunto a prezzi base e correnti fra 2019 e 2021 nelle province italiane</w:t>
      </w:r>
    </w:p>
    <w:p w14:paraId="2EF6EFF7" w14:textId="5EFF518C" w:rsidR="0020157D" w:rsidRDefault="00C427E7" w:rsidP="00731FDC">
      <w:pPr>
        <w:spacing w:after="0" w:line="240" w:lineRule="auto"/>
        <w:jc w:val="center"/>
        <w:rPr>
          <w:b/>
          <w:bCs/>
        </w:rPr>
      </w:pPr>
      <w:r>
        <w:rPr>
          <w:b/>
          <w:bCs/>
          <w:noProof/>
          <w:lang w:eastAsia="it-IT"/>
        </w:rPr>
        <w:lastRenderedPageBreak/>
        <w:drawing>
          <wp:inline distT="0" distB="0" distL="0" distR="0" wp14:anchorId="15F37969" wp14:editId="74DC09EC">
            <wp:extent cx="3263569" cy="3960000"/>
            <wp:effectExtent l="0" t="0" r="0" b="254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63569" cy="3960000"/>
                    </a:xfrm>
                    <a:prstGeom prst="rect">
                      <a:avLst/>
                    </a:prstGeom>
                    <a:noFill/>
                    <a:ln>
                      <a:noFill/>
                    </a:ln>
                  </pic:spPr>
                </pic:pic>
              </a:graphicData>
            </a:graphic>
          </wp:inline>
        </w:drawing>
      </w:r>
    </w:p>
    <w:p w14:paraId="70302D67" w14:textId="4E9C02E0" w:rsidR="0020157D" w:rsidRDefault="0020157D" w:rsidP="0020157D">
      <w:pPr>
        <w:spacing w:after="0" w:line="240" w:lineRule="auto"/>
        <w:ind w:left="567" w:hanging="567"/>
        <w:jc w:val="both"/>
        <w:rPr>
          <w:b/>
          <w:bCs/>
        </w:rPr>
      </w:pPr>
      <w:r w:rsidRPr="0020157D">
        <w:rPr>
          <w:b/>
          <w:bCs/>
          <w:sz w:val="18"/>
          <w:szCs w:val="18"/>
        </w:rPr>
        <w:t xml:space="preserve">Fonte: Elaborazione Centro Studi delle Camere di Commercio Guglielmo Tagliacarne </w:t>
      </w:r>
    </w:p>
    <w:p w14:paraId="6161636D" w14:textId="511EBAE5" w:rsidR="0020157D" w:rsidRDefault="0020157D" w:rsidP="00961E8D">
      <w:pPr>
        <w:ind w:left="567" w:hanging="567"/>
        <w:rPr>
          <w:b/>
          <w:bCs/>
        </w:rPr>
      </w:pPr>
    </w:p>
    <w:p w14:paraId="24211544" w14:textId="77777777" w:rsidR="00C41670" w:rsidRDefault="00C41670" w:rsidP="00C41670">
      <w:pPr>
        <w:spacing w:after="0" w:line="276" w:lineRule="auto"/>
        <w:jc w:val="both"/>
        <w:rPr>
          <w:sz w:val="24"/>
          <w:szCs w:val="24"/>
        </w:rPr>
      </w:pPr>
      <w:r>
        <w:rPr>
          <w:sz w:val="24"/>
          <w:szCs w:val="24"/>
        </w:rPr>
        <w:t>Tali province vedono i loro massimi storici di valore aggiunto registrarsi nel 2007 e nel 2008 con province come Caltanissetta e Campobasso che oggi distano ancora rispettivamente 15 e 10 punti percentuali da questi livelli. Ritardi che diventano ovviamente ancora più gravi laddove si considerasse i valori in termini concatenati.</w:t>
      </w:r>
      <w:r>
        <w:rPr>
          <w:rStyle w:val="Rimandonotaapidipagina"/>
          <w:sz w:val="24"/>
          <w:szCs w:val="24"/>
        </w:rPr>
        <w:footnoteReference w:id="1"/>
      </w:r>
    </w:p>
    <w:p w14:paraId="7129671D" w14:textId="53F30B62" w:rsidR="00961E8D" w:rsidRDefault="00961E8D" w:rsidP="00C427E7">
      <w:pPr>
        <w:spacing w:before="200"/>
        <w:rPr>
          <w:b/>
          <w:bCs/>
          <w:sz w:val="18"/>
          <w:szCs w:val="18"/>
        </w:rPr>
      </w:pPr>
      <w:r w:rsidRPr="0020157D">
        <w:rPr>
          <w:b/>
          <w:bCs/>
          <w:sz w:val="18"/>
          <w:szCs w:val="18"/>
        </w:rPr>
        <w:t>Fig.</w:t>
      </w:r>
      <w:r w:rsidR="00010E97">
        <w:rPr>
          <w:b/>
          <w:bCs/>
          <w:sz w:val="18"/>
          <w:szCs w:val="18"/>
        </w:rPr>
        <w:t>4</w:t>
      </w:r>
      <w:r w:rsidRPr="0020157D">
        <w:rPr>
          <w:b/>
          <w:bCs/>
          <w:sz w:val="18"/>
          <w:szCs w:val="18"/>
        </w:rPr>
        <w:t>- Variazione del valore aggiunto a prezzi base e correnti fra il valore massimo dal 2000 a oggi e 2021 nelle province italiane</w:t>
      </w:r>
    </w:p>
    <w:p w14:paraId="12868FBA" w14:textId="700DF159" w:rsidR="005E3E30" w:rsidRDefault="00C44D57" w:rsidP="00BA48DA">
      <w:pPr>
        <w:spacing w:after="0" w:line="240" w:lineRule="auto"/>
        <w:jc w:val="center"/>
        <w:rPr>
          <w:b/>
          <w:bCs/>
          <w:sz w:val="18"/>
          <w:szCs w:val="18"/>
        </w:rPr>
      </w:pPr>
      <w:r>
        <w:rPr>
          <w:b/>
          <w:bCs/>
          <w:noProof/>
          <w:sz w:val="18"/>
          <w:szCs w:val="18"/>
          <w:lang w:eastAsia="it-IT"/>
        </w:rPr>
        <w:lastRenderedPageBreak/>
        <w:drawing>
          <wp:inline distT="0" distB="0" distL="0" distR="0" wp14:anchorId="071B14A0" wp14:editId="4FC035BE">
            <wp:extent cx="3173351" cy="3960000"/>
            <wp:effectExtent l="0" t="0" r="8255" b="254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3351" cy="3960000"/>
                    </a:xfrm>
                    <a:prstGeom prst="rect">
                      <a:avLst/>
                    </a:prstGeom>
                    <a:noFill/>
                    <a:ln>
                      <a:noFill/>
                    </a:ln>
                  </pic:spPr>
                </pic:pic>
              </a:graphicData>
            </a:graphic>
          </wp:inline>
        </w:drawing>
      </w:r>
    </w:p>
    <w:p w14:paraId="66E33715" w14:textId="06CA1B50" w:rsidR="0020157D" w:rsidRPr="00B92BB8" w:rsidRDefault="0020157D" w:rsidP="00C44D57">
      <w:pPr>
        <w:spacing w:after="0" w:line="240" w:lineRule="auto"/>
        <w:jc w:val="both"/>
        <w:rPr>
          <w:b/>
          <w:bCs/>
          <w:sz w:val="18"/>
          <w:szCs w:val="18"/>
        </w:rPr>
      </w:pPr>
      <w:r w:rsidRPr="0020157D">
        <w:rPr>
          <w:b/>
          <w:bCs/>
          <w:sz w:val="18"/>
          <w:szCs w:val="18"/>
        </w:rPr>
        <w:t>Fonte: Elaborazione Centro Studi delle Camere di Commercio Guglielmo Tagliacarne</w:t>
      </w:r>
    </w:p>
    <w:p w14:paraId="1AE99C44" w14:textId="03E847EC" w:rsidR="009666E5" w:rsidRDefault="009666E5" w:rsidP="00D01DAE">
      <w:pPr>
        <w:spacing w:after="0" w:line="240" w:lineRule="auto"/>
        <w:ind w:left="567" w:hanging="567"/>
        <w:jc w:val="both"/>
        <w:rPr>
          <w:b/>
          <w:bCs/>
          <w:sz w:val="18"/>
          <w:szCs w:val="18"/>
        </w:rPr>
      </w:pPr>
    </w:p>
    <w:p w14:paraId="011BD6F8" w14:textId="77777777" w:rsidR="00C427E7" w:rsidRDefault="00C427E7" w:rsidP="00D01DAE">
      <w:pPr>
        <w:spacing w:after="0" w:line="240" w:lineRule="auto"/>
        <w:ind w:left="567" w:hanging="567"/>
        <w:jc w:val="both"/>
        <w:rPr>
          <w:b/>
          <w:bCs/>
          <w:sz w:val="18"/>
          <w:szCs w:val="18"/>
        </w:rPr>
      </w:pPr>
    </w:p>
    <w:p w14:paraId="654F0399" w14:textId="77777777" w:rsidR="00C41670" w:rsidRDefault="00C41670" w:rsidP="00D01DAE">
      <w:pPr>
        <w:spacing w:after="0" w:line="240" w:lineRule="auto"/>
        <w:ind w:left="567" w:hanging="567"/>
        <w:jc w:val="both"/>
        <w:rPr>
          <w:b/>
          <w:bCs/>
          <w:sz w:val="18"/>
          <w:szCs w:val="18"/>
        </w:rPr>
      </w:pPr>
    </w:p>
    <w:p w14:paraId="63CABCAB" w14:textId="5424980A" w:rsidR="00D01DAE" w:rsidRDefault="00B166C8" w:rsidP="00D01DAE">
      <w:pPr>
        <w:spacing w:after="0" w:line="240" w:lineRule="auto"/>
        <w:ind w:left="567" w:hanging="567"/>
        <w:jc w:val="both"/>
        <w:rPr>
          <w:b/>
          <w:bCs/>
          <w:sz w:val="18"/>
          <w:szCs w:val="18"/>
        </w:rPr>
      </w:pPr>
      <w:r>
        <w:rPr>
          <w:b/>
          <w:bCs/>
          <w:sz w:val="18"/>
          <w:szCs w:val="18"/>
        </w:rPr>
        <w:t>T</w:t>
      </w:r>
      <w:r w:rsidR="00D01DAE">
        <w:rPr>
          <w:b/>
          <w:bCs/>
          <w:sz w:val="18"/>
          <w:szCs w:val="18"/>
        </w:rPr>
        <w:t xml:space="preserve">ab.1-Le province italiane classificate per anno di conseguimento del massimo storico del valore aggiunto ai prezzi base e correnti </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4"/>
        <w:gridCol w:w="8125"/>
      </w:tblGrid>
      <w:tr w:rsidR="00D01DAE" w:rsidRPr="00D01DAE" w14:paraId="22CCF07C" w14:textId="77777777" w:rsidTr="00A0665A">
        <w:trPr>
          <w:trHeight w:val="400"/>
        </w:trPr>
        <w:tc>
          <w:tcPr>
            <w:tcW w:w="1504" w:type="dxa"/>
            <w:shd w:val="clear" w:color="auto" w:fill="auto"/>
            <w:vAlign w:val="center"/>
            <w:hideMark/>
          </w:tcPr>
          <w:p w14:paraId="7693E775" w14:textId="68C74FA1" w:rsidR="00D01DAE" w:rsidRPr="00D01DAE" w:rsidRDefault="00D01DAE" w:rsidP="00D01DAE">
            <w:pPr>
              <w:spacing w:after="0" w:line="240" w:lineRule="auto"/>
              <w:jc w:val="center"/>
              <w:rPr>
                <w:rFonts w:ascii="Calibri" w:eastAsia="Times New Roman" w:hAnsi="Calibri" w:cs="Calibri"/>
                <w:b/>
                <w:bCs/>
                <w:color w:val="000000"/>
                <w:sz w:val="18"/>
                <w:szCs w:val="18"/>
                <w:lang w:eastAsia="it-IT"/>
              </w:rPr>
            </w:pPr>
            <w:r w:rsidRPr="00D01DAE">
              <w:rPr>
                <w:rFonts w:ascii="Calibri" w:eastAsia="Times New Roman" w:hAnsi="Calibri" w:cs="Calibri"/>
                <w:b/>
                <w:bCs/>
                <w:color w:val="000000"/>
                <w:sz w:val="18"/>
                <w:szCs w:val="18"/>
                <w:lang w:eastAsia="it-IT"/>
              </w:rPr>
              <w:t xml:space="preserve">ANNO </w:t>
            </w:r>
            <w:r>
              <w:rPr>
                <w:rFonts w:ascii="Calibri" w:eastAsia="Times New Roman" w:hAnsi="Calibri" w:cs="Calibri"/>
                <w:b/>
                <w:bCs/>
                <w:color w:val="000000"/>
                <w:sz w:val="18"/>
                <w:szCs w:val="18"/>
                <w:lang w:eastAsia="it-IT"/>
              </w:rPr>
              <w:t>DI CONSEGUIMENTO</w:t>
            </w:r>
          </w:p>
        </w:tc>
        <w:tc>
          <w:tcPr>
            <w:tcW w:w="8125" w:type="dxa"/>
            <w:shd w:val="clear" w:color="auto" w:fill="auto"/>
            <w:noWrap/>
            <w:vAlign w:val="center"/>
            <w:hideMark/>
          </w:tcPr>
          <w:p w14:paraId="2323785B" w14:textId="77777777" w:rsidR="00D01DAE" w:rsidRPr="00D01DAE" w:rsidRDefault="00D01DAE" w:rsidP="00D01DAE">
            <w:pPr>
              <w:spacing w:after="0" w:line="240" w:lineRule="auto"/>
              <w:jc w:val="center"/>
              <w:rPr>
                <w:rFonts w:ascii="Calibri" w:eastAsia="Times New Roman" w:hAnsi="Calibri" w:cs="Calibri"/>
                <w:b/>
                <w:bCs/>
                <w:color w:val="000000"/>
                <w:sz w:val="18"/>
                <w:szCs w:val="18"/>
                <w:lang w:eastAsia="it-IT"/>
              </w:rPr>
            </w:pPr>
            <w:r w:rsidRPr="00D01DAE">
              <w:rPr>
                <w:rFonts w:ascii="Calibri" w:eastAsia="Times New Roman" w:hAnsi="Calibri" w:cs="Calibri"/>
                <w:b/>
                <w:bCs/>
                <w:color w:val="000000"/>
                <w:sz w:val="18"/>
                <w:szCs w:val="18"/>
                <w:lang w:eastAsia="it-IT"/>
              </w:rPr>
              <w:t>PROVINCE</w:t>
            </w:r>
          </w:p>
        </w:tc>
      </w:tr>
      <w:tr w:rsidR="00D01DAE" w:rsidRPr="00D01DAE" w14:paraId="7B34118B" w14:textId="77777777" w:rsidTr="00D01DAE">
        <w:trPr>
          <w:trHeight w:val="240"/>
        </w:trPr>
        <w:tc>
          <w:tcPr>
            <w:tcW w:w="1504" w:type="dxa"/>
            <w:shd w:val="clear" w:color="auto" w:fill="auto"/>
            <w:noWrap/>
            <w:vAlign w:val="center"/>
            <w:hideMark/>
          </w:tcPr>
          <w:p w14:paraId="2B328C15" w14:textId="77777777" w:rsidR="00D01DAE" w:rsidRPr="00D01DAE" w:rsidRDefault="00D01DAE" w:rsidP="00D01DAE">
            <w:pPr>
              <w:spacing w:after="0" w:line="240" w:lineRule="auto"/>
              <w:jc w:val="center"/>
              <w:rPr>
                <w:rFonts w:ascii="Calibri" w:eastAsia="Times New Roman" w:hAnsi="Calibri" w:cs="Calibri"/>
                <w:color w:val="000000"/>
                <w:sz w:val="18"/>
                <w:szCs w:val="18"/>
                <w:lang w:eastAsia="it-IT"/>
              </w:rPr>
            </w:pPr>
            <w:r w:rsidRPr="00D01DAE">
              <w:rPr>
                <w:rFonts w:ascii="Calibri" w:eastAsia="Times New Roman" w:hAnsi="Calibri" w:cs="Calibri"/>
                <w:color w:val="000000"/>
                <w:sz w:val="18"/>
                <w:szCs w:val="18"/>
                <w:lang w:eastAsia="it-IT"/>
              </w:rPr>
              <w:t>2007</w:t>
            </w:r>
          </w:p>
        </w:tc>
        <w:tc>
          <w:tcPr>
            <w:tcW w:w="8125" w:type="dxa"/>
            <w:shd w:val="clear" w:color="auto" w:fill="auto"/>
            <w:noWrap/>
            <w:vAlign w:val="center"/>
            <w:hideMark/>
          </w:tcPr>
          <w:p w14:paraId="4D34BC99" w14:textId="77777777" w:rsidR="00D01DAE" w:rsidRPr="00D01DAE" w:rsidRDefault="00D01DAE" w:rsidP="00D01DAE">
            <w:pPr>
              <w:spacing w:after="0" w:line="240" w:lineRule="auto"/>
              <w:rPr>
                <w:rFonts w:ascii="Calibri" w:eastAsia="Times New Roman" w:hAnsi="Calibri" w:cs="Calibri"/>
                <w:color w:val="000000"/>
                <w:sz w:val="18"/>
                <w:szCs w:val="18"/>
                <w:lang w:eastAsia="it-IT"/>
              </w:rPr>
            </w:pPr>
            <w:r w:rsidRPr="00D01DAE">
              <w:rPr>
                <w:rFonts w:ascii="Calibri" w:eastAsia="Times New Roman" w:hAnsi="Calibri" w:cs="Calibri"/>
                <w:color w:val="000000"/>
                <w:sz w:val="18"/>
                <w:szCs w:val="18"/>
                <w:lang w:eastAsia="it-IT"/>
              </w:rPr>
              <w:t>Vercelli, Ascoli Piceno, Terni, Viterbo, Rieti, Benevento, Campobasso, Matera, Cosenza, Trapani, Messina, Agrigento, Enna, Nuoro, Oristano, Fermo</w:t>
            </w:r>
          </w:p>
        </w:tc>
      </w:tr>
      <w:tr w:rsidR="00D01DAE" w:rsidRPr="00D01DAE" w14:paraId="2CF10783" w14:textId="77777777" w:rsidTr="00D01DAE">
        <w:trPr>
          <w:trHeight w:val="240"/>
        </w:trPr>
        <w:tc>
          <w:tcPr>
            <w:tcW w:w="1504" w:type="dxa"/>
            <w:shd w:val="clear" w:color="auto" w:fill="auto"/>
            <w:noWrap/>
            <w:vAlign w:val="center"/>
            <w:hideMark/>
          </w:tcPr>
          <w:p w14:paraId="17920B24" w14:textId="77777777" w:rsidR="00D01DAE" w:rsidRPr="00D01DAE" w:rsidRDefault="00D01DAE" w:rsidP="00D01DAE">
            <w:pPr>
              <w:spacing w:after="0" w:line="240" w:lineRule="auto"/>
              <w:jc w:val="center"/>
              <w:rPr>
                <w:rFonts w:ascii="Calibri" w:eastAsia="Times New Roman" w:hAnsi="Calibri" w:cs="Calibri"/>
                <w:color w:val="000000"/>
                <w:sz w:val="18"/>
                <w:szCs w:val="18"/>
                <w:lang w:eastAsia="it-IT"/>
              </w:rPr>
            </w:pPr>
            <w:r w:rsidRPr="00D01DAE">
              <w:rPr>
                <w:rFonts w:ascii="Calibri" w:eastAsia="Times New Roman" w:hAnsi="Calibri" w:cs="Calibri"/>
                <w:color w:val="000000"/>
                <w:sz w:val="18"/>
                <w:szCs w:val="18"/>
                <w:lang w:eastAsia="it-IT"/>
              </w:rPr>
              <w:t>2008</w:t>
            </w:r>
          </w:p>
        </w:tc>
        <w:tc>
          <w:tcPr>
            <w:tcW w:w="8125" w:type="dxa"/>
            <w:shd w:val="clear" w:color="auto" w:fill="auto"/>
            <w:noWrap/>
            <w:vAlign w:val="center"/>
            <w:hideMark/>
          </w:tcPr>
          <w:p w14:paraId="58C2317A" w14:textId="77777777" w:rsidR="00D01DAE" w:rsidRPr="00D01DAE" w:rsidRDefault="00D01DAE" w:rsidP="00D01DAE">
            <w:pPr>
              <w:spacing w:after="0" w:line="240" w:lineRule="auto"/>
              <w:rPr>
                <w:rFonts w:ascii="Calibri" w:eastAsia="Times New Roman" w:hAnsi="Calibri" w:cs="Calibri"/>
                <w:color w:val="000000"/>
                <w:sz w:val="18"/>
                <w:szCs w:val="18"/>
                <w:lang w:eastAsia="it-IT"/>
              </w:rPr>
            </w:pPr>
            <w:r w:rsidRPr="00D01DAE">
              <w:rPr>
                <w:rFonts w:ascii="Calibri" w:eastAsia="Times New Roman" w:hAnsi="Calibri" w:cs="Calibri"/>
                <w:color w:val="000000"/>
                <w:sz w:val="18"/>
                <w:szCs w:val="18"/>
                <w:lang w:eastAsia="it-IT"/>
              </w:rPr>
              <w:t>Imperia, Savona, Ferrara, Avellino, Reggio di Calabria, Palermo, Caltanissetta, Isernia, Biella, Crotone</w:t>
            </w:r>
          </w:p>
        </w:tc>
      </w:tr>
      <w:tr w:rsidR="00D01DAE" w:rsidRPr="00D01DAE" w14:paraId="2C66C14D" w14:textId="77777777" w:rsidTr="00D01DAE">
        <w:trPr>
          <w:trHeight w:val="240"/>
        </w:trPr>
        <w:tc>
          <w:tcPr>
            <w:tcW w:w="1504" w:type="dxa"/>
            <w:shd w:val="clear" w:color="auto" w:fill="auto"/>
            <w:noWrap/>
            <w:vAlign w:val="center"/>
            <w:hideMark/>
          </w:tcPr>
          <w:p w14:paraId="35B9FF89" w14:textId="77777777" w:rsidR="00D01DAE" w:rsidRPr="00D01DAE" w:rsidRDefault="00D01DAE" w:rsidP="00D01DAE">
            <w:pPr>
              <w:spacing w:after="0" w:line="240" w:lineRule="auto"/>
              <w:jc w:val="center"/>
              <w:rPr>
                <w:rFonts w:ascii="Calibri" w:eastAsia="Times New Roman" w:hAnsi="Calibri" w:cs="Calibri"/>
                <w:color w:val="000000"/>
                <w:sz w:val="18"/>
                <w:szCs w:val="18"/>
                <w:lang w:eastAsia="it-IT"/>
              </w:rPr>
            </w:pPr>
            <w:r w:rsidRPr="00D01DAE">
              <w:rPr>
                <w:rFonts w:ascii="Calibri" w:eastAsia="Times New Roman" w:hAnsi="Calibri" w:cs="Calibri"/>
                <w:color w:val="000000"/>
                <w:sz w:val="18"/>
                <w:szCs w:val="18"/>
                <w:lang w:eastAsia="it-IT"/>
              </w:rPr>
              <w:t>2012</w:t>
            </w:r>
          </w:p>
        </w:tc>
        <w:tc>
          <w:tcPr>
            <w:tcW w:w="8125" w:type="dxa"/>
            <w:shd w:val="clear" w:color="auto" w:fill="auto"/>
            <w:noWrap/>
            <w:vAlign w:val="center"/>
            <w:hideMark/>
          </w:tcPr>
          <w:p w14:paraId="3B8D0788" w14:textId="77777777" w:rsidR="00D01DAE" w:rsidRPr="00D01DAE" w:rsidRDefault="00D01DAE" w:rsidP="00D01DAE">
            <w:pPr>
              <w:spacing w:after="0" w:line="240" w:lineRule="auto"/>
              <w:rPr>
                <w:rFonts w:ascii="Calibri" w:eastAsia="Times New Roman" w:hAnsi="Calibri" w:cs="Calibri"/>
                <w:color w:val="000000"/>
                <w:sz w:val="18"/>
                <w:szCs w:val="18"/>
                <w:lang w:eastAsia="it-IT"/>
              </w:rPr>
            </w:pPr>
            <w:r w:rsidRPr="00D01DAE">
              <w:rPr>
                <w:rFonts w:ascii="Calibri" w:eastAsia="Times New Roman" w:hAnsi="Calibri" w:cs="Calibri"/>
                <w:color w:val="000000"/>
                <w:sz w:val="18"/>
                <w:szCs w:val="18"/>
                <w:lang w:eastAsia="it-IT"/>
              </w:rPr>
              <w:t>Valle d'Aosta / Vallée d'Aoste, Ragusa</w:t>
            </w:r>
          </w:p>
        </w:tc>
      </w:tr>
      <w:tr w:rsidR="00D01DAE" w:rsidRPr="00D01DAE" w14:paraId="7F50A585" w14:textId="77777777" w:rsidTr="00D01DAE">
        <w:trPr>
          <w:trHeight w:val="240"/>
        </w:trPr>
        <w:tc>
          <w:tcPr>
            <w:tcW w:w="1504" w:type="dxa"/>
            <w:shd w:val="clear" w:color="auto" w:fill="auto"/>
            <w:noWrap/>
            <w:vAlign w:val="center"/>
            <w:hideMark/>
          </w:tcPr>
          <w:p w14:paraId="7D127917" w14:textId="77777777" w:rsidR="00D01DAE" w:rsidRPr="00D01DAE" w:rsidRDefault="00D01DAE" w:rsidP="00D01DAE">
            <w:pPr>
              <w:spacing w:after="0" w:line="240" w:lineRule="auto"/>
              <w:jc w:val="center"/>
              <w:rPr>
                <w:rFonts w:ascii="Calibri" w:eastAsia="Times New Roman" w:hAnsi="Calibri" w:cs="Calibri"/>
                <w:color w:val="000000"/>
                <w:sz w:val="18"/>
                <w:szCs w:val="18"/>
                <w:lang w:eastAsia="it-IT"/>
              </w:rPr>
            </w:pPr>
            <w:r w:rsidRPr="00D01DAE">
              <w:rPr>
                <w:rFonts w:ascii="Calibri" w:eastAsia="Times New Roman" w:hAnsi="Calibri" w:cs="Calibri"/>
                <w:color w:val="000000"/>
                <w:sz w:val="18"/>
                <w:szCs w:val="18"/>
                <w:lang w:eastAsia="it-IT"/>
              </w:rPr>
              <w:t>2017</w:t>
            </w:r>
          </w:p>
        </w:tc>
        <w:tc>
          <w:tcPr>
            <w:tcW w:w="8125" w:type="dxa"/>
            <w:shd w:val="clear" w:color="auto" w:fill="auto"/>
            <w:noWrap/>
            <w:vAlign w:val="center"/>
            <w:hideMark/>
          </w:tcPr>
          <w:p w14:paraId="48BC6A8E" w14:textId="77777777" w:rsidR="00D01DAE" w:rsidRPr="00D01DAE" w:rsidRDefault="00D01DAE" w:rsidP="00D01DAE">
            <w:pPr>
              <w:spacing w:after="0" w:line="240" w:lineRule="auto"/>
              <w:rPr>
                <w:rFonts w:ascii="Calibri" w:eastAsia="Times New Roman" w:hAnsi="Calibri" w:cs="Calibri"/>
                <w:color w:val="000000"/>
                <w:sz w:val="18"/>
                <w:szCs w:val="18"/>
                <w:lang w:eastAsia="it-IT"/>
              </w:rPr>
            </w:pPr>
            <w:r w:rsidRPr="00D01DAE">
              <w:rPr>
                <w:rFonts w:ascii="Calibri" w:eastAsia="Times New Roman" w:hAnsi="Calibri" w:cs="Calibri"/>
                <w:color w:val="000000"/>
                <w:sz w:val="18"/>
                <w:szCs w:val="18"/>
                <w:lang w:eastAsia="it-IT"/>
              </w:rPr>
              <w:t>Chieti, Taranto, Catanzaro, Siracusa</w:t>
            </w:r>
          </w:p>
        </w:tc>
      </w:tr>
      <w:tr w:rsidR="00D01DAE" w:rsidRPr="00D01DAE" w14:paraId="7DA31A25" w14:textId="77777777" w:rsidTr="00D01DAE">
        <w:trPr>
          <w:trHeight w:val="240"/>
        </w:trPr>
        <w:tc>
          <w:tcPr>
            <w:tcW w:w="1504" w:type="dxa"/>
            <w:shd w:val="clear" w:color="auto" w:fill="auto"/>
            <w:noWrap/>
            <w:vAlign w:val="center"/>
            <w:hideMark/>
          </w:tcPr>
          <w:p w14:paraId="53EADAA6" w14:textId="77777777" w:rsidR="00D01DAE" w:rsidRPr="00D01DAE" w:rsidRDefault="00D01DAE" w:rsidP="00D01DAE">
            <w:pPr>
              <w:spacing w:after="0" w:line="240" w:lineRule="auto"/>
              <w:jc w:val="center"/>
              <w:rPr>
                <w:rFonts w:ascii="Calibri" w:eastAsia="Times New Roman" w:hAnsi="Calibri" w:cs="Calibri"/>
                <w:color w:val="000000"/>
                <w:sz w:val="18"/>
                <w:szCs w:val="18"/>
                <w:lang w:eastAsia="it-IT"/>
              </w:rPr>
            </w:pPr>
            <w:r w:rsidRPr="00D01DAE">
              <w:rPr>
                <w:rFonts w:ascii="Calibri" w:eastAsia="Times New Roman" w:hAnsi="Calibri" w:cs="Calibri"/>
                <w:color w:val="000000"/>
                <w:sz w:val="18"/>
                <w:szCs w:val="18"/>
                <w:lang w:eastAsia="it-IT"/>
              </w:rPr>
              <w:t>2018</w:t>
            </w:r>
          </w:p>
        </w:tc>
        <w:tc>
          <w:tcPr>
            <w:tcW w:w="8125" w:type="dxa"/>
            <w:shd w:val="clear" w:color="auto" w:fill="auto"/>
            <w:noWrap/>
            <w:vAlign w:val="center"/>
            <w:hideMark/>
          </w:tcPr>
          <w:p w14:paraId="73D2EB8B" w14:textId="77777777" w:rsidR="00D01DAE" w:rsidRPr="00D01DAE" w:rsidRDefault="00D01DAE" w:rsidP="00D01DAE">
            <w:pPr>
              <w:spacing w:after="0" w:line="240" w:lineRule="auto"/>
              <w:rPr>
                <w:rFonts w:ascii="Calibri" w:eastAsia="Times New Roman" w:hAnsi="Calibri" w:cs="Calibri"/>
                <w:color w:val="000000"/>
                <w:sz w:val="18"/>
                <w:szCs w:val="18"/>
                <w:lang w:eastAsia="it-IT"/>
              </w:rPr>
            </w:pPr>
            <w:r w:rsidRPr="00D01DAE">
              <w:rPr>
                <w:rFonts w:ascii="Calibri" w:eastAsia="Times New Roman" w:hAnsi="Calibri" w:cs="Calibri"/>
                <w:color w:val="000000"/>
                <w:sz w:val="18"/>
                <w:szCs w:val="18"/>
                <w:lang w:eastAsia="it-IT"/>
              </w:rPr>
              <w:t>Torino, Mantova, Modena, Ravenna, Macerata, Massa-Carrara, Siena, Grosseto, Pescara, Brindisi, Potenza</w:t>
            </w:r>
          </w:p>
        </w:tc>
      </w:tr>
      <w:tr w:rsidR="00D01DAE" w:rsidRPr="00D01DAE" w14:paraId="4332F4AE" w14:textId="77777777" w:rsidTr="00D01DAE">
        <w:trPr>
          <w:trHeight w:val="240"/>
        </w:trPr>
        <w:tc>
          <w:tcPr>
            <w:tcW w:w="1504" w:type="dxa"/>
            <w:shd w:val="clear" w:color="auto" w:fill="auto"/>
            <w:noWrap/>
            <w:vAlign w:val="center"/>
            <w:hideMark/>
          </w:tcPr>
          <w:p w14:paraId="752EF7F2" w14:textId="77777777" w:rsidR="00D01DAE" w:rsidRPr="00D01DAE" w:rsidRDefault="00D01DAE" w:rsidP="00D01DAE">
            <w:pPr>
              <w:spacing w:after="0" w:line="240" w:lineRule="auto"/>
              <w:jc w:val="center"/>
              <w:rPr>
                <w:rFonts w:ascii="Calibri" w:eastAsia="Times New Roman" w:hAnsi="Calibri" w:cs="Calibri"/>
                <w:color w:val="000000"/>
                <w:sz w:val="18"/>
                <w:szCs w:val="18"/>
                <w:lang w:eastAsia="it-IT"/>
              </w:rPr>
            </w:pPr>
            <w:r w:rsidRPr="00D01DAE">
              <w:rPr>
                <w:rFonts w:ascii="Calibri" w:eastAsia="Times New Roman" w:hAnsi="Calibri" w:cs="Calibri"/>
                <w:color w:val="000000"/>
                <w:sz w:val="18"/>
                <w:szCs w:val="18"/>
                <w:lang w:eastAsia="it-IT"/>
              </w:rPr>
              <w:t>2019</w:t>
            </w:r>
          </w:p>
        </w:tc>
        <w:tc>
          <w:tcPr>
            <w:tcW w:w="8125" w:type="dxa"/>
            <w:shd w:val="clear" w:color="auto" w:fill="auto"/>
            <w:noWrap/>
            <w:vAlign w:val="center"/>
            <w:hideMark/>
          </w:tcPr>
          <w:p w14:paraId="25EAFE85" w14:textId="77777777" w:rsidR="00D01DAE" w:rsidRPr="00D01DAE" w:rsidRDefault="00D01DAE" w:rsidP="00D01DAE">
            <w:pPr>
              <w:spacing w:after="0" w:line="240" w:lineRule="auto"/>
              <w:rPr>
                <w:rFonts w:ascii="Calibri" w:eastAsia="Times New Roman" w:hAnsi="Calibri" w:cs="Calibri"/>
                <w:color w:val="000000"/>
                <w:sz w:val="18"/>
                <w:szCs w:val="18"/>
                <w:lang w:eastAsia="it-IT"/>
              </w:rPr>
            </w:pPr>
            <w:r w:rsidRPr="00D01DAE">
              <w:rPr>
                <w:rFonts w:ascii="Calibri" w:eastAsia="Times New Roman" w:hAnsi="Calibri" w:cs="Calibri"/>
                <w:color w:val="000000"/>
                <w:sz w:val="18"/>
                <w:szCs w:val="18"/>
                <w:lang w:eastAsia="it-IT"/>
              </w:rPr>
              <w:t>Novara, Cuneo, Asti, Alessandria, Varese, Como, Sondrio, Milano, Bergamo, Brescia, Pavia, Cremona, Bolzano / Bozen, Trento, Verona, Vicenza, Belluno, Venezia, Padova, Rovigo, Udine, Gorizia, Trieste, Piacenza, Parma, Reggio nell'Emilia, Bologna, Forlì-Cesena, Pesaro e Urbino, Ancona, Lucca, Pistoia, Firenze, Livorno, Pisa, Arezzo, Roma, L'Aquila, Teramo, Foggia, Bari, Lecce, Catania, Sassari, Cagliari, Pordenone, Lecco, Lodi, Rimini, Prato, Vibo Valentia, Verbano-Cusio-Ossola, Monza e della Brianza, Barletta-Andria-Trani, Sud Sardegna</w:t>
            </w:r>
          </w:p>
        </w:tc>
      </w:tr>
      <w:tr w:rsidR="00D01DAE" w:rsidRPr="00D01DAE" w14:paraId="32D93D71" w14:textId="77777777" w:rsidTr="00D01DAE">
        <w:trPr>
          <w:trHeight w:val="70"/>
        </w:trPr>
        <w:tc>
          <w:tcPr>
            <w:tcW w:w="1504" w:type="dxa"/>
            <w:shd w:val="clear" w:color="auto" w:fill="auto"/>
            <w:noWrap/>
            <w:vAlign w:val="center"/>
            <w:hideMark/>
          </w:tcPr>
          <w:p w14:paraId="14E1922D" w14:textId="77777777" w:rsidR="00D01DAE" w:rsidRPr="00D01DAE" w:rsidRDefault="00D01DAE" w:rsidP="00D01DAE">
            <w:pPr>
              <w:spacing w:after="0" w:line="240" w:lineRule="auto"/>
              <w:jc w:val="center"/>
              <w:rPr>
                <w:rFonts w:ascii="Calibri" w:eastAsia="Times New Roman" w:hAnsi="Calibri" w:cs="Calibri"/>
                <w:color w:val="000000"/>
                <w:sz w:val="18"/>
                <w:szCs w:val="18"/>
                <w:lang w:eastAsia="it-IT"/>
              </w:rPr>
            </w:pPr>
            <w:r w:rsidRPr="00D01DAE">
              <w:rPr>
                <w:rFonts w:ascii="Calibri" w:eastAsia="Times New Roman" w:hAnsi="Calibri" w:cs="Calibri"/>
                <w:color w:val="000000"/>
                <w:sz w:val="18"/>
                <w:szCs w:val="18"/>
                <w:lang w:eastAsia="it-IT"/>
              </w:rPr>
              <w:t>2021</w:t>
            </w:r>
          </w:p>
        </w:tc>
        <w:tc>
          <w:tcPr>
            <w:tcW w:w="8125" w:type="dxa"/>
            <w:shd w:val="clear" w:color="auto" w:fill="auto"/>
            <w:noWrap/>
            <w:vAlign w:val="center"/>
            <w:hideMark/>
          </w:tcPr>
          <w:p w14:paraId="2CB18F75" w14:textId="77777777" w:rsidR="00D01DAE" w:rsidRPr="00D01DAE" w:rsidRDefault="00D01DAE" w:rsidP="00D01DAE">
            <w:pPr>
              <w:spacing w:after="0" w:line="240" w:lineRule="auto"/>
              <w:rPr>
                <w:rFonts w:ascii="Calibri" w:eastAsia="Times New Roman" w:hAnsi="Calibri" w:cs="Calibri"/>
                <w:color w:val="000000"/>
                <w:sz w:val="18"/>
                <w:szCs w:val="18"/>
                <w:lang w:eastAsia="it-IT"/>
              </w:rPr>
            </w:pPr>
            <w:r w:rsidRPr="00D01DAE">
              <w:rPr>
                <w:rFonts w:ascii="Calibri" w:eastAsia="Times New Roman" w:hAnsi="Calibri" w:cs="Calibri"/>
                <w:color w:val="000000"/>
                <w:sz w:val="18"/>
                <w:szCs w:val="18"/>
                <w:lang w:eastAsia="it-IT"/>
              </w:rPr>
              <w:t>Genova, La Spezia, Treviso, Perugia, Latina, Frosinone, Caserta, Napoli, Salerno</w:t>
            </w:r>
          </w:p>
        </w:tc>
      </w:tr>
    </w:tbl>
    <w:p w14:paraId="222F6EED" w14:textId="072F5BE6" w:rsidR="00D01DAE" w:rsidRDefault="00D01DAE" w:rsidP="00D01DAE">
      <w:pPr>
        <w:spacing w:after="0" w:line="240" w:lineRule="auto"/>
        <w:ind w:left="567" w:hanging="567"/>
        <w:jc w:val="both"/>
        <w:rPr>
          <w:b/>
          <w:bCs/>
        </w:rPr>
      </w:pPr>
      <w:r w:rsidRPr="0020157D">
        <w:rPr>
          <w:b/>
          <w:bCs/>
          <w:sz w:val="18"/>
          <w:szCs w:val="18"/>
        </w:rPr>
        <w:t>Fonte: Elaborazione Centro Studi delle Camere di Commercio Guglielmo Tagliacarne su dati Unioncamere-Centro Studi delle Camere di Commercio Guglielmo Tagliacarne</w:t>
      </w:r>
      <w:r>
        <w:rPr>
          <w:b/>
          <w:bCs/>
          <w:sz w:val="18"/>
          <w:szCs w:val="18"/>
        </w:rPr>
        <w:t xml:space="preserve"> e Istat</w:t>
      </w:r>
    </w:p>
    <w:p w14:paraId="0A226E85" w14:textId="7A933B4A" w:rsidR="00DE70E4" w:rsidRPr="00C41670" w:rsidRDefault="009A1472" w:rsidP="00622DB9">
      <w:pPr>
        <w:pStyle w:val="Titolo1"/>
        <w:numPr>
          <w:ilvl w:val="0"/>
          <w:numId w:val="4"/>
        </w:numPr>
        <w:spacing w:after="200"/>
        <w:ind w:left="714" w:hanging="357"/>
        <w:rPr>
          <w:rFonts w:asciiTheme="minorHAnsi" w:hAnsiTheme="minorHAnsi" w:cstheme="minorHAnsi"/>
          <w:b/>
          <w:bCs/>
          <w:color w:val="auto"/>
          <w:sz w:val="28"/>
          <w:szCs w:val="28"/>
        </w:rPr>
      </w:pPr>
      <w:bookmarkStart w:id="3" w:name="_Toc113528111"/>
      <w:r w:rsidRPr="00C41670">
        <w:rPr>
          <w:rFonts w:asciiTheme="minorHAnsi" w:hAnsiTheme="minorHAnsi" w:cstheme="minorHAnsi"/>
          <w:b/>
          <w:bCs/>
          <w:color w:val="auto"/>
          <w:sz w:val="28"/>
          <w:szCs w:val="28"/>
        </w:rPr>
        <w:t>Il bilancio dei settori di attività</w:t>
      </w:r>
      <w:bookmarkEnd w:id="3"/>
    </w:p>
    <w:p w14:paraId="4C296E99" w14:textId="02955AC0" w:rsidR="00864AA8" w:rsidRDefault="005023B8" w:rsidP="00622DB9">
      <w:pPr>
        <w:spacing w:before="200" w:after="200" w:line="276" w:lineRule="auto"/>
        <w:jc w:val="both"/>
        <w:rPr>
          <w:sz w:val="24"/>
          <w:szCs w:val="24"/>
        </w:rPr>
      </w:pPr>
      <w:r w:rsidRPr="00C44D57">
        <w:rPr>
          <w:sz w:val="24"/>
          <w:szCs w:val="24"/>
        </w:rPr>
        <w:t>Per la prima volta le stime del valore aggiunto provinciale prodotte dal Centro Studi delle Camere di Commercio Guglielmo Tagliacarne</w:t>
      </w:r>
      <w:r w:rsidR="00344CD9" w:rsidRPr="00C44D57">
        <w:rPr>
          <w:sz w:val="24"/>
          <w:szCs w:val="24"/>
        </w:rPr>
        <w:t xml:space="preserve"> </w:t>
      </w:r>
      <w:r w:rsidRPr="00C44D57">
        <w:rPr>
          <w:sz w:val="24"/>
          <w:szCs w:val="24"/>
        </w:rPr>
        <w:t>relative all’anno precedente consentono di fornire una lettura settoriale quantomeno per le grandi branche dell’economia (agricoltura, industria in senso stretto, costruzioni e servizi</w:t>
      </w:r>
      <w:r w:rsidR="009D14D0" w:rsidRPr="00C44D57">
        <w:rPr>
          <w:sz w:val="24"/>
          <w:szCs w:val="24"/>
        </w:rPr>
        <w:t>) consentendo quindi di misurare l’evoluzione post Covid-19 considerando congiuntamente settori e territori.</w:t>
      </w:r>
      <w:r w:rsidR="009D14D0" w:rsidRPr="00E4176C">
        <w:rPr>
          <w:sz w:val="24"/>
          <w:szCs w:val="24"/>
        </w:rPr>
        <w:t xml:space="preserve"> </w:t>
      </w:r>
      <w:r w:rsidR="00374C63">
        <w:rPr>
          <w:sz w:val="24"/>
          <w:szCs w:val="24"/>
        </w:rPr>
        <w:t xml:space="preserve">Chiaramente </w:t>
      </w:r>
      <w:r w:rsidR="009D14D0" w:rsidRPr="00E4176C">
        <w:rPr>
          <w:sz w:val="24"/>
          <w:szCs w:val="24"/>
        </w:rPr>
        <w:t xml:space="preserve">la ripartenza nei vari settori appare </w:t>
      </w:r>
      <w:r w:rsidR="009D14D0" w:rsidRPr="00E4176C">
        <w:rPr>
          <w:sz w:val="24"/>
          <w:szCs w:val="24"/>
        </w:rPr>
        <w:lastRenderedPageBreak/>
        <w:t>fortemente condizionata da quanto siano stati</w:t>
      </w:r>
      <w:r w:rsidR="00374C63">
        <w:rPr>
          <w:sz w:val="24"/>
          <w:szCs w:val="24"/>
        </w:rPr>
        <w:t xml:space="preserve"> influenzati</w:t>
      </w:r>
      <w:r w:rsidR="009D14D0" w:rsidRPr="00E4176C">
        <w:rPr>
          <w:sz w:val="24"/>
          <w:szCs w:val="24"/>
        </w:rPr>
        <w:t xml:space="preserve"> </w:t>
      </w:r>
      <w:r w:rsidR="00374C63">
        <w:rPr>
          <w:sz w:val="24"/>
          <w:szCs w:val="24"/>
        </w:rPr>
        <w:t>da</w:t>
      </w:r>
      <w:r w:rsidR="009D14D0" w:rsidRPr="00E4176C">
        <w:rPr>
          <w:sz w:val="24"/>
          <w:szCs w:val="24"/>
        </w:rPr>
        <w:t>i vari comparti dai provvedimenti di lockdown che hanno caratterizzato il 2020</w:t>
      </w:r>
      <w:r w:rsidR="00164776" w:rsidRPr="00E4176C">
        <w:rPr>
          <w:sz w:val="24"/>
          <w:szCs w:val="24"/>
        </w:rPr>
        <w:t xml:space="preserve"> e dai provvedimenti di stimolo successivamente introdotti (si pensi ad esempio al bonus 110%</w:t>
      </w:r>
      <w:r w:rsidR="00374C63">
        <w:rPr>
          <w:sz w:val="24"/>
          <w:szCs w:val="24"/>
        </w:rPr>
        <w:t xml:space="preserve"> per le ristrutturazioni edilizie</w:t>
      </w:r>
      <w:r w:rsidR="00864AA8">
        <w:rPr>
          <w:sz w:val="24"/>
          <w:szCs w:val="24"/>
        </w:rPr>
        <w:t xml:space="preserve"> e che hanno avuto un grosso impatto sull’evoluzione del valore aggiunto delle costruzioni come si vedrà a breve</w:t>
      </w:r>
      <w:r w:rsidR="009D14D0" w:rsidRPr="00E4176C">
        <w:rPr>
          <w:sz w:val="24"/>
          <w:szCs w:val="24"/>
        </w:rPr>
        <w:t xml:space="preserve">. </w:t>
      </w:r>
      <w:r w:rsidR="00864AA8" w:rsidRPr="00E4176C">
        <w:rPr>
          <w:sz w:val="24"/>
          <w:szCs w:val="24"/>
        </w:rPr>
        <w:t xml:space="preserve">Hanno </w:t>
      </w:r>
      <w:r w:rsidR="00864AA8">
        <w:rPr>
          <w:sz w:val="24"/>
          <w:szCs w:val="24"/>
        </w:rPr>
        <w:t>“</w:t>
      </w:r>
      <w:r w:rsidR="00864AA8" w:rsidRPr="00E4176C">
        <w:rPr>
          <w:sz w:val="24"/>
          <w:szCs w:val="24"/>
        </w:rPr>
        <w:t>messo la freccia</w:t>
      </w:r>
      <w:r w:rsidR="00864AA8">
        <w:rPr>
          <w:sz w:val="24"/>
          <w:szCs w:val="24"/>
        </w:rPr>
        <w:t>”</w:t>
      </w:r>
      <w:r w:rsidR="00864AA8" w:rsidRPr="00E4176C">
        <w:rPr>
          <w:sz w:val="24"/>
          <w:szCs w:val="24"/>
        </w:rPr>
        <w:t xml:space="preserve"> rispetto al 2019 anche l’agricoltura e l’industria in senso stretto (ovvero l’insieme costituito dal comparto manifatturiero, dall’estrattivo e dalle utility). E se per il settore primario questo risultato poteva considerarsi atteso</w:t>
      </w:r>
      <w:r w:rsidR="00864AA8">
        <w:rPr>
          <w:sz w:val="24"/>
          <w:szCs w:val="24"/>
        </w:rPr>
        <w:t>,</w:t>
      </w:r>
      <w:r w:rsidR="00864AA8" w:rsidRPr="00E4176C">
        <w:rPr>
          <w:sz w:val="24"/>
          <w:szCs w:val="24"/>
        </w:rPr>
        <w:t xml:space="preserve"> vista la scarsa influenza esercitata dalla pandemia sui risultati economici prodotti nel 2020</w:t>
      </w:r>
      <w:r w:rsidR="00864AA8">
        <w:rPr>
          <w:sz w:val="24"/>
          <w:szCs w:val="24"/>
        </w:rPr>
        <w:t>,</w:t>
      </w:r>
      <w:r w:rsidR="00864AA8" w:rsidRPr="00E4176C">
        <w:rPr>
          <w:sz w:val="24"/>
          <w:szCs w:val="24"/>
        </w:rPr>
        <w:t xml:space="preserve"> il ritorno dell’industria a livelli superiori al pre-covid evidenzia come il 2020 sia stata semplicemente una parentesi che ha interrotto quel percorso virtuoso che il settore aveva intrapreso e che lo aveva visto recuperare in termini di importanza nella composizione settoriale della ricchezza prodotta dal sistema paese. </w:t>
      </w:r>
    </w:p>
    <w:p w14:paraId="720818EB" w14:textId="77777777" w:rsidR="00B0574A" w:rsidRPr="00B0574A" w:rsidRDefault="00B0574A" w:rsidP="00B0574A">
      <w:pPr>
        <w:pStyle w:val="Paragrafoelenco"/>
        <w:keepNext/>
        <w:keepLines/>
        <w:numPr>
          <w:ilvl w:val="0"/>
          <w:numId w:val="9"/>
        </w:numPr>
        <w:spacing w:before="240" w:after="200"/>
        <w:contextualSpacing w:val="0"/>
        <w:outlineLvl w:val="0"/>
        <w:rPr>
          <w:rFonts w:eastAsiaTheme="majorEastAsia" w:cstheme="minorHAnsi"/>
          <w:b/>
          <w:bCs/>
          <w:vanish/>
          <w:sz w:val="28"/>
          <w:szCs w:val="28"/>
        </w:rPr>
      </w:pPr>
      <w:bookmarkStart w:id="4" w:name="_Toc113528112"/>
      <w:bookmarkEnd w:id="4"/>
    </w:p>
    <w:p w14:paraId="0D8D7008" w14:textId="77777777" w:rsidR="00B0574A" w:rsidRPr="00B0574A" w:rsidRDefault="00B0574A" w:rsidP="00B0574A">
      <w:pPr>
        <w:pStyle w:val="Paragrafoelenco"/>
        <w:keepNext/>
        <w:keepLines/>
        <w:numPr>
          <w:ilvl w:val="0"/>
          <w:numId w:val="9"/>
        </w:numPr>
        <w:spacing w:before="240" w:after="200"/>
        <w:contextualSpacing w:val="0"/>
        <w:outlineLvl w:val="0"/>
        <w:rPr>
          <w:rFonts w:eastAsiaTheme="majorEastAsia" w:cstheme="minorHAnsi"/>
          <w:b/>
          <w:bCs/>
          <w:vanish/>
          <w:sz w:val="28"/>
          <w:szCs w:val="28"/>
        </w:rPr>
      </w:pPr>
      <w:bookmarkStart w:id="5" w:name="_Toc113528113"/>
      <w:bookmarkEnd w:id="5"/>
    </w:p>
    <w:p w14:paraId="214AC548" w14:textId="77777777" w:rsidR="00B0574A" w:rsidRPr="00B0574A" w:rsidRDefault="00B0574A" w:rsidP="00B0574A">
      <w:pPr>
        <w:pStyle w:val="Paragrafoelenco"/>
        <w:keepNext/>
        <w:keepLines/>
        <w:numPr>
          <w:ilvl w:val="0"/>
          <w:numId w:val="9"/>
        </w:numPr>
        <w:spacing w:before="240" w:after="200"/>
        <w:contextualSpacing w:val="0"/>
        <w:outlineLvl w:val="0"/>
        <w:rPr>
          <w:rFonts w:eastAsiaTheme="majorEastAsia" w:cstheme="minorHAnsi"/>
          <w:b/>
          <w:bCs/>
          <w:vanish/>
          <w:sz w:val="28"/>
          <w:szCs w:val="28"/>
        </w:rPr>
      </w:pPr>
      <w:bookmarkStart w:id="6" w:name="_Toc113528114"/>
      <w:bookmarkEnd w:id="6"/>
    </w:p>
    <w:p w14:paraId="11A423D1" w14:textId="060FA572" w:rsidR="00864AA8" w:rsidRPr="00B0574A" w:rsidRDefault="00864AA8" w:rsidP="00B0574A">
      <w:pPr>
        <w:pStyle w:val="Titolo1"/>
        <w:numPr>
          <w:ilvl w:val="1"/>
          <w:numId w:val="9"/>
        </w:numPr>
        <w:tabs>
          <w:tab w:val="left" w:pos="851"/>
        </w:tabs>
        <w:spacing w:after="200"/>
        <w:rPr>
          <w:rFonts w:asciiTheme="minorHAnsi" w:hAnsiTheme="minorHAnsi" w:cstheme="minorHAnsi"/>
          <w:b/>
          <w:bCs/>
          <w:color w:val="auto"/>
          <w:sz w:val="28"/>
          <w:szCs w:val="28"/>
        </w:rPr>
      </w:pPr>
      <w:bookmarkStart w:id="7" w:name="_Toc113528115"/>
      <w:r w:rsidRPr="00B0574A">
        <w:rPr>
          <w:rFonts w:asciiTheme="minorHAnsi" w:hAnsiTheme="minorHAnsi" w:cstheme="minorHAnsi"/>
          <w:b/>
          <w:bCs/>
          <w:color w:val="auto"/>
          <w:sz w:val="28"/>
          <w:szCs w:val="28"/>
        </w:rPr>
        <w:t>L’agricoltura</w:t>
      </w:r>
      <w:bookmarkEnd w:id="7"/>
    </w:p>
    <w:p w14:paraId="2951D8CA" w14:textId="1B1BA932" w:rsidR="00864AA8" w:rsidRDefault="00864AA8" w:rsidP="00864AA8">
      <w:pPr>
        <w:spacing w:after="0" w:line="276" w:lineRule="auto"/>
        <w:jc w:val="both"/>
        <w:rPr>
          <w:sz w:val="24"/>
          <w:szCs w:val="24"/>
        </w:rPr>
      </w:pPr>
      <w:r w:rsidRPr="00274190">
        <w:rPr>
          <w:sz w:val="24"/>
          <w:szCs w:val="24"/>
        </w:rPr>
        <w:t xml:space="preserve">Per quanto concerne l’agricoltura le importanti performance del Mezzogiorno si evidenziano con una nettezza ancora maggiore rispetto a quanto riscontra nell’industria con le prime nove posizioni della classifica (e tredici delle prime quattordici) delle variazioni monopolizzate da provincia dell’area. Particolarmente performanti sono state le due province lucane a cui si unisce in un ideale triangolo a cavallo fra Puglia e Basilicata anche quella di Barletta-Andria-Trani con il dato di Matera e della provincia pugliese che assume una maggiore valenza in considerazione del fatto che si tratta di province nelle quali l’agricoltura ha un peso molto consistente sulla formazione della ricchezza locale con riferimento soprattutto alla provincia dei “sassi”. Subito dopo trovano posto cinque realtà siciliane, Taranto con Varese che interrompe il dominio meridionale inserendosi all’undicesimo posto con una variazione del 10,3%. </w:t>
      </w:r>
    </w:p>
    <w:p w14:paraId="43F67594" w14:textId="77777777" w:rsidR="00864AA8" w:rsidRDefault="00864AA8" w:rsidP="00864AA8">
      <w:pPr>
        <w:spacing w:after="200" w:line="276" w:lineRule="auto"/>
        <w:jc w:val="both"/>
        <w:rPr>
          <w:sz w:val="24"/>
          <w:szCs w:val="24"/>
        </w:rPr>
      </w:pPr>
      <w:r w:rsidRPr="00274190">
        <w:rPr>
          <w:sz w:val="24"/>
          <w:szCs w:val="24"/>
        </w:rPr>
        <w:t>Di converso 50 province presentano ancora un valore aggiunto inferiore a quello del 2019 con una grossa concentrazione di deficit consistenti nel Centro-Nord con Gorizia indietro ancora di 23,5 punti percentuali e Massa-Carrara che si trova ancora sotto di una misura pari al 17,5% tanto per citare casi particolarmente significativi. Se in queste due province il peso dell’agricoltura è decisamente limitato e quindi le contrazioni settoriali contano relativamente poco nell’economia globale, questa considerazione non vale per altre province che hanno sperimentato nel biennio</w:t>
      </w:r>
      <w:r>
        <w:rPr>
          <w:sz w:val="24"/>
          <w:szCs w:val="24"/>
        </w:rPr>
        <w:t xml:space="preserve"> </w:t>
      </w:r>
      <w:r w:rsidRPr="00274190">
        <w:rPr>
          <w:sz w:val="24"/>
          <w:szCs w:val="24"/>
        </w:rPr>
        <w:t xml:space="preserve">una forte contrazione e che rappresentano il Sud agricolo in difficoltà. Si tratta di Crotone, Oristano e Sud Sardegna a cui si aggiungono anche l’accoppiata toscana costituita da Pistoia e Grosseto. </w:t>
      </w:r>
    </w:p>
    <w:p w14:paraId="18D4D547" w14:textId="0BC49927" w:rsidR="00864AA8" w:rsidRPr="007B64AB" w:rsidRDefault="00864AA8" w:rsidP="00B0574A">
      <w:pPr>
        <w:pStyle w:val="Titolo1"/>
        <w:numPr>
          <w:ilvl w:val="1"/>
          <w:numId w:val="9"/>
        </w:numPr>
        <w:tabs>
          <w:tab w:val="left" w:pos="851"/>
        </w:tabs>
        <w:spacing w:after="200"/>
        <w:rPr>
          <w:rFonts w:asciiTheme="minorHAnsi" w:hAnsiTheme="minorHAnsi" w:cstheme="minorHAnsi"/>
          <w:b/>
          <w:bCs/>
          <w:color w:val="auto"/>
          <w:sz w:val="28"/>
          <w:szCs w:val="28"/>
        </w:rPr>
      </w:pPr>
      <w:bookmarkStart w:id="8" w:name="_Toc113528116"/>
      <w:r w:rsidRPr="007B64AB">
        <w:rPr>
          <w:rFonts w:asciiTheme="minorHAnsi" w:hAnsiTheme="minorHAnsi" w:cstheme="minorHAnsi"/>
          <w:b/>
          <w:bCs/>
          <w:color w:val="auto"/>
          <w:sz w:val="28"/>
          <w:szCs w:val="28"/>
        </w:rPr>
        <w:t>L’industria</w:t>
      </w:r>
      <w:r w:rsidR="007B64AB">
        <w:rPr>
          <w:rFonts w:asciiTheme="minorHAnsi" w:hAnsiTheme="minorHAnsi" w:cstheme="minorHAnsi"/>
          <w:b/>
          <w:bCs/>
          <w:color w:val="auto"/>
          <w:sz w:val="28"/>
          <w:szCs w:val="28"/>
        </w:rPr>
        <w:t xml:space="preserve"> in senso stretto</w:t>
      </w:r>
      <w:bookmarkEnd w:id="8"/>
    </w:p>
    <w:p w14:paraId="3806CA67" w14:textId="77777777" w:rsidR="00864AA8" w:rsidRDefault="00864AA8" w:rsidP="00864AA8">
      <w:pPr>
        <w:spacing w:after="0" w:line="276" w:lineRule="auto"/>
        <w:jc w:val="both"/>
        <w:rPr>
          <w:sz w:val="24"/>
          <w:szCs w:val="24"/>
        </w:rPr>
      </w:pPr>
      <w:r w:rsidRPr="00E4176C">
        <w:rPr>
          <w:sz w:val="24"/>
          <w:szCs w:val="24"/>
        </w:rPr>
        <w:t xml:space="preserve">Entrando maggiormente nel dettaglio la variazione del valore aggiunto industriale in termini correnti fra 2019 e 2021 è stata dell’1,9% frutto di un 2021 chiusosi a quota +10,2% rispetto all’anno precedente. </w:t>
      </w:r>
      <w:r>
        <w:rPr>
          <w:sz w:val="24"/>
          <w:szCs w:val="24"/>
        </w:rPr>
        <w:t>I</w:t>
      </w:r>
      <w:r w:rsidRPr="00E4176C">
        <w:rPr>
          <w:sz w:val="24"/>
          <w:szCs w:val="24"/>
        </w:rPr>
        <w:t>l dato medio è la sintesi di andamenti territoriali molto differenziati. I principali protagonisti di questa ripartenza del settore secondario si collocano indifferentemente nel Nord (anche se sarebbe meglio dire nel Nord-Ovest) e nel Mezzogiorno</w:t>
      </w:r>
      <w:r>
        <w:rPr>
          <w:sz w:val="24"/>
          <w:szCs w:val="24"/>
        </w:rPr>
        <w:t>,</w:t>
      </w:r>
      <w:r w:rsidRPr="00E4176C">
        <w:rPr>
          <w:sz w:val="24"/>
          <w:szCs w:val="24"/>
        </w:rPr>
        <w:t xml:space="preserve"> mentre meno performanti appaiono il Centro ed il Nord-Est. </w:t>
      </w:r>
    </w:p>
    <w:p w14:paraId="778FA170" w14:textId="37E136BA" w:rsidR="00864AA8" w:rsidRDefault="0030594F" w:rsidP="00864AA8">
      <w:pPr>
        <w:spacing w:after="0" w:line="276" w:lineRule="auto"/>
        <w:jc w:val="both"/>
        <w:rPr>
          <w:sz w:val="24"/>
          <w:szCs w:val="24"/>
        </w:rPr>
      </w:pPr>
      <w:r>
        <w:rPr>
          <w:sz w:val="24"/>
          <w:szCs w:val="24"/>
        </w:rPr>
        <w:lastRenderedPageBreak/>
        <w:t>I</w:t>
      </w:r>
      <w:r w:rsidRPr="00E4176C">
        <w:rPr>
          <w:sz w:val="24"/>
          <w:szCs w:val="24"/>
        </w:rPr>
        <w:t>n particolare,</w:t>
      </w:r>
      <w:r w:rsidR="00864AA8" w:rsidRPr="00E4176C">
        <w:rPr>
          <w:sz w:val="24"/>
          <w:szCs w:val="24"/>
        </w:rPr>
        <w:t xml:space="preserve"> ad emergere sono state le province liguri. A La Spezia e Genova che sono le due province con la maggiore crescita della ricchezza prodotta (rispettivamente +16,1 e +12,4%) si aggiungono anche le due realtà di Ponente che si collocano in settima e tredicesima posizione rispettivamente con +9,2 (Imperia) e +6,5% (Savona). </w:t>
      </w:r>
    </w:p>
    <w:p w14:paraId="7922F932" w14:textId="27874992" w:rsidR="00864AA8" w:rsidRDefault="00864AA8" w:rsidP="00622DB9">
      <w:pPr>
        <w:spacing w:after="0" w:line="276" w:lineRule="auto"/>
        <w:jc w:val="both"/>
        <w:rPr>
          <w:sz w:val="24"/>
          <w:szCs w:val="24"/>
        </w:rPr>
      </w:pPr>
      <w:r>
        <w:rPr>
          <w:sz w:val="24"/>
          <w:szCs w:val="24"/>
        </w:rPr>
        <w:t xml:space="preserve">Al </w:t>
      </w:r>
      <w:r w:rsidRPr="00E4176C">
        <w:rPr>
          <w:sz w:val="24"/>
          <w:szCs w:val="24"/>
        </w:rPr>
        <w:t>Sud, invece, un posto di elevato rilievo viene occupato da alcune province calabresi e sarde che seguono dappresso Matera che chiude il podio delle province più performanti fra 2019 e 2021 con +11,9%. In particolare si possono citare per la Calabria Vibo Valentia, Reggio di Calabria e Cosenza che hanno evidenziato crescite comprese fra il 7,4 ed il 10,5% (con Crotone leggermente staccata e il capoluogo regionale capace di andare comunque ben al di sopra della media nazionale) mentre per la Sardegna si evidenziano certamente Sassari e Oristano (con variazioni che per ambedue sfiorano il 12%) senza comunque trascurare i risultati decisamente rilevanti d</w:t>
      </w:r>
      <w:r>
        <w:rPr>
          <w:sz w:val="24"/>
          <w:szCs w:val="24"/>
        </w:rPr>
        <w:t>e</w:t>
      </w:r>
      <w:r w:rsidRPr="00E4176C">
        <w:rPr>
          <w:sz w:val="24"/>
          <w:szCs w:val="24"/>
        </w:rPr>
        <w:t xml:space="preserve">lle altre tre province comunque compresi fra il 6 e il 7%. Come </w:t>
      </w:r>
      <w:r>
        <w:rPr>
          <w:sz w:val="24"/>
          <w:szCs w:val="24"/>
        </w:rPr>
        <w:t>rilevato</w:t>
      </w:r>
      <w:r w:rsidRPr="00E4176C">
        <w:rPr>
          <w:sz w:val="24"/>
          <w:szCs w:val="24"/>
        </w:rPr>
        <w:t xml:space="preserve"> Nord-Est e Centro sono i grandi assenti di questa fase di ritorno ai valori pre</w:t>
      </w:r>
      <w:r>
        <w:rPr>
          <w:sz w:val="24"/>
          <w:szCs w:val="24"/>
        </w:rPr>
        <w:t>-</w:t>
      </w:r>
      <w:r w:rsidRPr="00E4176C">
        <w:rPr>
          <w:sz w:val="24"/>
          <w:szCs w:val="24"/>
        </w:rPr>
        <w:t xml:space="preserve">pandemici. Chiaramente non mancano casi di territori che evidenziano risultati particolarmente significativi come, ad esempio, Trieste (+6,9%) e Viterbo (+6,2%) che però appaiono essere delle eccezioni ad un trend di ripresa decisamente più modesto. E che si tratti di eccezioni lo evidenzia anche la classifica delle province meno performanti. Nella quale si evidenzia per quanto concerne il Centro, una densa presenza di province della Toscana con ben otto province che presentano ancora valori deficitari rispetto al 2019 (le uniche eccezioni sono Arezzo e Prato) mentre nel Nord-Est si segnalano le prestazioni deludenti che provengono dall’Emilia (con la parziale eccezione di Piacenza). Ma anche per quanto concerne l’andamento del valore aggiunto industriale il Sud evidenzia un fortissimo grado di eterogeneità interna. Se in precedenza si sono evidenziate numerose realtà performanti non va taciuto che le cinque province italiane meno performanti fra 2019 e 2021 (e otto delle peggiori nove) si concentrano tutte nel Mezzogiorno. E in questo ambito si segnala l’Abruzzo che colloca tutte le sue quattro province nelle ultime quattro posizioni della classifica con flessioni comprese fra il 6 e il 7%. </w:t>
      </w:r>
    </w:p>
    <w:p w14:paraId="36C72A07" w14:textId="5926432E" w:rsidR="00864AA8" w:rsidRPr="007B64AB" w:rsidRDefault="00864AA8" w:rsidP="00B0574A">
      <w:pPr>
        <w:pStyle w:val="Titolo1"/>
        <w:numPr>
          <w:ilvl w:val="1"/>
          <w:numId w:val="9"/>
        </w:numPr>
        <w:tabs>
          <w:tab w:val="left" w:pos="851"/>
        </w:tabs>
        <w:spacing w:after="200"/>
        <w:rPr>
          <w:rFonts w:asciiTheme="minorHAnsi" w:hAnsiTheme="minorHAnsi" w:cstheme="minorHAnsi"/>
          <w:b/>
          <w:bCs/>
          <w:color w:val="auto"/>
          <w:sz w:val="28"/>
          <w:szCs w:val="28"/>
        </w:rPr>
      </w:pPr>
      <w:bookmarkStart w:id="9" w:name="_Toc113528117"/>
      <w:r w:rsidRPr="007B64AB">
        <w:rPr>
          <w:rFonts w:asciiTheme="minorHAnsi" w:hAnsiTheme="minorHAnsi" w:cstheme="minorHAnsi"/>
          <w:b/>
          <w:bCs/>
          <w:color w:val="auto"/>
          <w:sz w:val="28"/>
          <w:szCs w:val="28"/>
        </w:rPr>
        <w:t>Le costruzioni</w:t>
      </w:r>
      <w:bookmarkEnd w:id="9"/>
    </w:p>
    <w:p w14:paraId="76C78E8E" w14:textId="233CE962" w:rsidR="0011551B" w:rsidRDefault="00622DB9" w:rsidP="00C41670">
      <w:pPr>
        <w:spacing w:before="200" w:after="0" w:line="276" w:lineRule="auto"/>
        <w:jc w:val="both"/>
        <w:rPr>
          <w:sz w:val="24"/>
          <w:szCs w:val="24"/>
        </w:rPr>
      </w:pPr>
      <w:r>
        <w:rPr>
          <w:sz w:val="24"/>
          <w:szCs w:val="24"/>
        </w:rPr>
        <w:t>Grazie anche al già accennato provvedimento noto comunemente come Superbonus 110%</w:t>
      </w:r>
      <w:r w:rsidR="00164776" w:rsidRPr="00E4176C">
        <w:rPr>
          <w:sz w:val="24"/>
          <w:szCs w:val="24"/>
        </w:rPr>
        <w:t xml:space="preserve"> il settore che ha saputo mettersi alle spalle la crisi con maggiore rapidità è stato quello dell’edilizia</w:t>
      </w:r>
      <w:r w:rsidR="00021994" w:rsidRPr="00E4176C">
        <w:rPr>
          <w:sz w:val="24"/>
          <w:szCs w:val="24"/>
        </w:rPr>
        <w:t xml:space="preserve">. Anzi il valore aggiunto del comparto a livello nazionale nel 2021 è stato di quasi il 13% superiore rispetto a quello del 2019 con tassi di crescita superiori al 30% nelle due province umbre </w:t>
      </w:r>
      <w:r w:rsidR="006F5700" w:rsidRPr="00E4176C">
        <w:rPr>
          <w:sz w:val="24"/>
          <w:szCs w:val="24"/>
        </w:rPr>
        <w:t xml:space="preserve">(con Terni che con una crescita del 41,9% è stata la provincia più performante in Italia) </w:t>
      </w:r>
      <w:r w:rsidR="00021994" w:rsidRPr="00E4176C">
        <w:rPr>
          <w:sz w:val="24"/>
          <w:szCs w:val="24"/>
        </w:rPr>
        <w:t>ed in sette delle nove circoscrizioni siciliane (</w:t>
      </w:r>
      <w:r w:rsidR="00E208B1">
        <w:rPr>
          <w:sz w:val="24"/>
          <w:szCs w:val="24"/>
        </w:rPr>
        <w:t xml:space="preserve">con l’eccezione </w:t>
      </w:r>
      <w:r w:rsidR="00021994" w:rsidRPr="00E4176C">
        <w:rPr>
          <w:sz w:val="24"/>
          <w:szCs w:val="24"/>
        </w:rPr>
        <w:t>eccezion</w:t>
      </w:r>
      <w:r w:rsidR="00E208B1">
        <w:rPr>
          <w:sz w:val="24"/>
          <w:szCs w:val="24"/>
        </w:rPr>
        <w:t xml:space="preserve">e di </w:t>
      </w:r>
      <w:r w:rsidR="00021994" w:rsidRPr="00E4176C">
        <w:rPr>
          <w:sz w:val="24"/>
          <w:szCs w:val="24"/>
        </w:rPr>
        <w:t>Caltanissetta e Siracusa dove</w:t>
      </w:r>
      <w:r w:rsidR="00BE2287" w:rsidRPr="00E4176C">
        <w:rPr>
          <w:sz w:val="24"/>
          <w:szCs w:val="24"/>
        </w:rPr>
        <w:t>,</w:t>
      </w:r>
      <w:r w:rsidR="00021994" w:rsidRPr="00E4176C">
        <w:rPr>
          <w:sz w:val="24"/>
          <w:szCs w:val="24"/>
        </w:rPr>
        <w:t xml:space="preserve"> comunque</w:t>
      </w:r>
      <w:r w:rsidR="00BE2287" w:rsidRPr="00E4176C">
        <w:rPr>
          <w:sz w:val="24"/>
          <w:szCs w:val="24"/>
        </w:rPr>
        <w:t>,</w:t>
      </w:r>
      <w:r w:rsidR="00021994" w:rsidRPr="00E4176C">
        <w:rPr>
          <w:sz w:val="24"/>
          <w:szCs w:val="24"/>
        </w:rPr>
        <w:t xml:space="preserve"> ci si è collocati appena al di sotto di tale soglia)</w:t>
      </w:r>
      <w:r w:rsidR="006F5700" w:rsidRPr="00E4176C">
        <w:rPr>
          <w:sz w:val="24"/>
          <w:szCs w:val="24"/>
        </w:rPr>
        <w:t xml:space="preserve">. Uniche realtà territoriali che non sono state in grado di intercettare la ripresa sono state le due province autonome di Bolzano/Bozen e Trento e la parte friulana del Friuli-Venezia Giulia con Pordenone che ha evidenziato il ritardo maggiore rispetto al periodo Pre-Covid con un -6,7%. </w:t>
      </w:r>
    </w:p>
    <w:p w14:paraId="57BD6252" w14:textId="4427595C" w:rsidR="00FB599E" w:rsidRPr="007B64AB" w:rsidRDefault="00FB599E" w:rsidP="00B0574A">
      <w:pPr>
        <w:pStyle w:val="Titolo1"/>
        <w:numPr>
          <w:ilvl w:val="1"/>
          <w:numId w:val="9"/>
        </w:numPr>
        <w:tabs>
          <w:tab w:val="left" w:pos="851"/>
        </w:tabs>
        <w:spacing w:after="200"/>
        <w:rPr>
          <w:rFonts w:asciiTheme="minorHAnsi" w:hAnsiTheme="minorHAnsi" w:cstheme="minorHAnsi"/>
          <w:b/>
          <w:bCs/>
          <w:color w:val="auto"/>
          <w:sz w:val="28"/>
          <w:szCs w:val="28"/>
        </w:rPr>
      </w:pPr>
      <w:bookmarkStart w:id="10" w:name="_Toc113528118"/>
      <w:r w:rsidRPr="007B64AB">
        <w:rPr>
          <w:rFonts w:asciiTheme="minorHAnsi" w:hAnsiTheme="minorHAnsi" w:cstheme="minorHAnsi"/>
          <w:b/>
          <w:bCs/>
          <w:color w:val="auto"/>
          <w:sz w:val="28"/>
          <w:szCs w:val="28"/>
        </w:rPr>
        <w:lastRenderedPageBreak/>
        <w:t>I servizi</w:t>
      </w:r>
      <w:bookmarkEnd w:id="10"/>
    </w:p>
    <w:p w14:paraId="6FFE9102" w14:textId="03693783" w:rsidR="00015BCD" w:rsidRDefault="00DB6032" w:rsidP="00274190">
      <w:pPr>
        <w:spacing w:after="0" w:line="276" w:lineRule="auto"/>
        <w:jc w:val="both"/>
        <w:rPr>
          <w:sz w:val="24"/>
          <w:szCs w:val="24"/>
        </w:rPr>
      </w:pPr>
      <w:r w:rsidRPr="00274190">
        <w:rPr>
          <w:sz w:val="24"/>
          <w:szCs w:val="24"/>
        </w:rPr>
        <w:t xml:space="preserve">Infine, i servizi. Unico macrosettore ad essere ancora sotto a livello nazionale rispetto ai livelli del 2019 </w:t>
      </w:r>
      <w:r w:rsidR="00B76AB0" w:rsidRPr="00274190">
        <w:rPr>
          <w:sz w:val="24"/>
          <w:szCs w:val="24"/>
        </w:rPr>
        <w:t>(circa il 2,9% in meno rispetto all’anno pre</w:t>
      </w:r>
      <w:r w:rsidR="005148D5">
        <w:rPr>
          <w:sz w:val="24"/>
          <w:szCs w:val="24"/>
        </w:rPr>
        <w:t>-</w:t>
      </w:r>
      <w:r w:rsidR="00B76AB0" w:rsidRPr="00274190">
        <w:rPr>
          <w:sz w:val="24"/>
          <w:szCs w:val="24"/>
        </w:rPr>
        <w:t>pandemico)</w:t>
      </w:r>
      <w:r w:rsidR="0089223C" w:rsidRPr="00274190">
        <w:rPr>
          <w:sz w:val="24"/>
          <w:szCs w:val="24"/>
        </w:rPr>
        <w:t xml:space="preserve"> con ben 98 province su 107 ancora sotto i livelli di partenza. Tale mancata ripresa</w:t>
      </w:r>
      <w:r w:rsidR="00B76AB0" w:rsidRPr="00274190">
        <w:rPr>
          <w:sz w:val="24"/>
          <w:szCs w:val="24"/>
        </w:rPr>
        <w:t xml:space="preserve"> sconta</w:t>
      </w:r>
      <w:r w:rsidR="0089223C" w:rsidRPr="00274190">
        <w:rPr>
          <w:sz w:val="24"/>
          <w:szCs w:val="24"/>
        </w:rPr>
        <w:t xml:space="preserve"> evidentemente (ma non solo)</w:t>
      </w:r>
      <w:r w:rsidR="00B76AB0" w:rsidRPr="00274190">
        <w:rPr>
          <w:sz w:val="24"/>
          <w:szCs w:val="24"/>
        </w:rPr>
        <w:t xml:space="preserve"> un turismo ancora decisamente sottotono rispetto al consueto</w:t>
      </w:r>
      <w:r w:rsidR="00015BCD">
        <w:rPr>
          <w:sz w:val="24"/>
          <w:szCs w:val="24"/>
        </w:rPr>
        <w:t>,</w:t>
      </w:r>
      <w:r w:rsidR="00A77710" w:rsidRPr="00274190">
        <w:rPr>
          <w:sz w:val="24"/>
          <w:szCs w:val="24"/>
        </w:rPr>
        <w:t xml:space="preserve"> soprattutto con riferimento alla componente estera</w:t>
      </w:r>
      <w:r w:rsidR="00B76AB0" w:rsidRPr="00274190">
        <w:rPr>
          <w:sz w:val="24"/>
          <w:szCs w:val="24"/>
        </w:rPr>
        <w:t xml:space="preserve">. </w:t>
      </w:r>
      <w:r w:rsidR="0089223C" w:rsidRPr="00274190">
        <w:rPr>
          <w:sz w:val="24"/>
          <w:szCs w:val="24"/>
        </w:rPr>
        <w:t>E in alcuni territori il legame fra mancata ripresa dei servizi e livelli di turismo appare decisamente evidente.</w:t>
      </w:r>
    </w:p>
    <w:p w14:paraId="55DC0D97" w14:textId="262C7B35" w:rsidR="00E4176C" w:rsidRPr="00274190" w:rsidRDefault="00B76AB0" w:rsidP="00274190">
      <w:pPr>
        <w:spacing w:after="0" w:line="276" w:lineRule="auto"/>
        <w:jc w:val="both"/>
        <w:rPr>
          <w:sz w:val="24"/>
          <w:szCs w:val="24"/>
        </w:rPr>
      </w:pPr>
      <w:r w:rsidRPr="00274190">
        <w:rPr>
          <w:sz w:val="24"/>
          <w:szCs w:val="24"/>
        </w:rPr>
        <w:t>Scorrendo la classifica</w:t>
      </w:r>
      <w:r w:rsidR="0089223C" w:rsidRPr="00274190">
        <w:rPr>
          <w:sz w:val="24"/>
          <w:szCs w:val="24"/>
        </w:rPr>
        <w:t xml:space="preserve"> delle variazioni del terziario fra 2019 e 2021</w:t>
      </w:r>
      <w:r w:rsidRPr="00274190">
        <w:rPr>
          <w:sz w:val="24"/>
          <w:szCs w:val="24"/>
        </w:rPr>
        <w:t xml:space="preserve"> si nota, infatti, come l</w:t>
      </w:r>
      <w:r w:rsidR="00A77710" w:rsidRPr="00274190">
        <w:rPr>
          <w:sz w:val="24"/>
          <w:szCs w:val="24"/>
        </w:rPr>
        <w:t>a</w:t>
      </w:r>
      <w:r w:rsidRPr="00274190">
        <w:rPr>
          <w:sz w:val="24"/>
          <w:szCs w:val="24"/>
        </w:rPr>
        <w:t xml:space="preserve"> provincia </w:t>
      </w:r>
      <w:r w:rsidR="00A77710" w:rsidRPr="00274190">
        <w:rPr>
          <w:sz w:val="24"/>
          <w:szCs w:val="24"/>
        </w:rPr>
        <w:t>che abbia accusato le maggiori perdite di valore aggiunto sia Bolzano/Bozen, territorio che nel 2019 era al terzo posto in Italia per presenze turistiche complessive (con oltre 33,6 milioni) seguita da Trento che era quarta</w:t>
      </w:r>
      <w:r w:rsidR="0089223C" w:rsidRPr="00274190">
        <w:rPr>
          <w:sz w:val="24"/>
          <w:szCs w:val="24"/>
        </w:rPr>
        <w:t>. Viceversa,</w:t>
      </w:r>
      <w:r w:rsidR="00A77710" w:rsidRPr="00274190">
        <w:rPr>
          <w:sz w:val="24"/>
          <w:szCs w:val="24"/>
        </w:rPr>
        <w:t xml:space="preserve"> province storicamente </w:t>
      </w:r>
      <w:r w:rsidR="00E806A1">
        <w:rPr>
          <w:sz w:val="24"/>
          <w:szCs w:val="24"/>
        </w:rPr>
        <w:t xml:space="preserve">meno </w:t>
      </w:r>
      <w:r w:rsidR="00015BCD">
        <w:rPr>
          <w:sz w:val="24"/>
          <w:szCs w:val="24"/>
        </w:rPr>
        <w:t>interessate d</w:t>
      </w:r>
      <w:r w:rsidR="00A77710" w:rsidRPr="00274190">
        <w:rPr>
          <w:sz w:val="24"/>
          <w:szCs w:val="24"/>
        </w:rPr>
        <w:t xml:space="preserve">ai flussi turistici come quelle </w:t>
      </w:r>
      <w:r w:rsidR="00F173BF" w:rsidRPr="00274190">
        <w:rPr>
          <w:sz w:val="24"/>
          <w:szCs w:val="24"/>
        </w:rPr>
        <w:t>di Avellino, Benevento ed Enna (che nel 2019 si collocavano nella bottom ten delle province italiane per livelli di presenze turistiche) sono fra quelle già tornat</w:t>
      </w:r>
      <w:r w:rsidR="00E806A1">
        <w:rPr>
          <w:sz w:val="24"/>
          <w:szCs w:val="24"/>
        </w:rPr>
        <w:t>e</w:t>
      </w:r>
      <w:r w:rsidR="00F173BF" w:rsidRPr="00274190">
        <w:rPr>
          <w:sz w:val="24"/>
          <w:szCs w:val="24"/>
        </w:rPr>
        <w:t xml:space="preserve"> ai livelli di valore aggiunto terziario pre pandemico. </w:t>
      </w:r>
      <w:r w:rsidR="0089223C" w:rsidRPr="00274190">
        <w:rPr>
          <w:sz w:val="24"/>
          <w:szCs w:val="24"/>
        </w:rPr>
        <w:t xml:space="preserve">Ovviamente non è solo il turismo la motivazione della mancata ripartenza </w:t>
      </w:r>
      <w:r w:rsidR="00E86E5E" w:rsidRPr="00274190">
        <w:rPr>
          <w:sz w:val="24"/>
          <w:szCs w:val="24"/>
        </w:rPr>
        <w:t xml:space="preserve">del comparto terziario </w:t>
      </w:r>
      <w:r w:rsidR="00E4176C" w:rsidRPr="00274190">
        <w:rPr>
          <w:sz w:val="24"/>
          <w:szCs w:val="24"/>
        </w:rPr>
        <w:t xml:space="preserve">e questo lo si può desumere da due aspetti: </w:t>
      </w:r>
    </w:p>
    <w:p w14:paraId="41C018AD" w14:textId="04BA91C4" w:rsidR="00E4176C" w:rsidRDefault="00E86E5E" w:rsidP="00E4176C">
      <w:pPr>
        <w:pStyle w:val="Paragrafoelenco"/>
        <w:numPr>
          <w:ilvl w:val="0"/>
          <w:numId w:val="1"/>
        </w:numPr>
        <w:spacing w:after="0" w:line="276" w:lineRule="auto"/>
        <w:jc w:val="both"/>
        <w:rPr>
          <w:sz w:val="24"/>
          <w:szCs w:val="24"/>
        </w:rPr>
      </w:pPr>
      <w:r w:rsidRPr="00E4176C">
        <w:rPr>
          <w:sz w:val="24"/>
          <w:szCs w:val="24"/>
        </w:rPr>
        <w:t>se si calcola il coefficiente di correlazione fra variazioni del valore aggiunto dei servizi fra 2019 e 2021 e la consistenza delle presenze turistiche si evidenzia certamente una correlazione negativa (ovvero tassi di variazione più alti in corrispondenza di bassi valori di turismo) ma si tratta di una correlazione, comunque piuttosto debole (valutabile intorno a -0,2)</w:t>
      </w:r>
      <w:r w:rsidR="00E4176C" w:rsidRPr="00E4176C">
        <w:rPr>
          <w:sz w:val="24"/>
          <w:szCs w:val="24"/>
        </w:rPr>
        <w:t>;</w:t>
      </w:r>
    </w:p>
    <w:p w14:paraId="26D3CEEB" w14:textId="78FA4361" w:rsidR="00CC438E" w:rsidRDefault="00E4176C" w:rsidP="009C619C">
      <w:pPr>
        <w:pStyle w:val="Paragrafoelenco"/>
        <w:numPr>
          <w:ilvl w:val="0"/>
          <w:numId w:val="1"/>
        </w:numPr>
        <w:spacing w:after="0" w:line="276" w:lineRule="auto"/>
        <w:jc w:val="both"/>
        <w:rPr>
          <w:sz w:val="24"/>
          <w:szCs w:val="24"/>
        </w:rPr>
      </w:pPr>
      <w:r w:rsidRPr="00E4176C">
        <w:rPr>
          <w:sz w:val="24"/>
          <w:szCs w:val="24"/>
        </w:rPr>
        <w:t xml:space="preserve">se si </w:t>
      </w:r>
      <w:r>
        <w:rPr>
          <w:sz w:val="24"/>
          <w:szCs w:val="24"/>
        </w:rPr>
        <w:t xml:space="preserve">calcola per ogni provincia italiana il rapporto </w:t>
      </w:r>
      <w:r w:rsidR="00C8387E">
        <w:rPr>
          <w:sz w:val="24"/>
          <w:szCs w:val="24"/>
        </w:rPr>
        <w:t xml:space="preserve">tra </w:t>
      </w:r>
      <w:r>
        <w:rPr>
          <w:sz w:val="24"/>
          <w:szCs w:val="24"/>
        </w:rPr>
        <w:t>valore aggiunto proveniente dai codici della classificazione delle attività economiche Ateco 2007 55 (Alloggio) e 56 (Ristorazione)</w:t>
      </w:r>
      <w:r w:rsidR="00CC438E">
        <w:rPr>
          <w:rStyle w:val="Rimandonotaapidipagina"/>
          <w:sz w:val="24"/>
          <w:szCs w:val="24"/>
        </w:rPr>
        <w:footnoteReference w:id="2"/>
      </w:r>
      <w:r>
        <w:rPr>
          <w:sz w:val="24"/>
          <w:szCs w:val="24"/>
        </w:rPr>
        <w:t xml:space="preserve"> e si suddividono le province in due gruppi a seconda che questo rapporto sia sopra </w:t>
      </w:r>
      <w:r w:rsidR="00CC438E">
        <w:rPr>
          <w:sz w:val="24"/>
          <w:szCs w:val="24"/>
        </w:rPr>
        <w:t xml:space="preserve">o </w:t>
      </w:r>
      <w:r>
        <w:rPr>
          <w:sz w:val="24"/>
          <w:szCs w:val="24"/>
        </w:rPr>
        <w:t>sotto la media nazionale si evidenzia come le province al di sopra della media</w:t>
      </w:r>
      <w:r w:rsidR="00CC438E">
        <w:rPr>
          <w:sz w:val="24"/>
          <w:szCs w:val="24"/>
        </w:rPr>
        <w:t xml:space="preserve"> hanno ancora un valore aggiunto relativo al totale dell’economia che è 1,4 punti percentuali inferiore a quello del 2019 mentre le province al di sotto ha una contrazione solo leggermente più contenuta (-1,1%) con variazioni fra 2020 e 2021 di fatto quasi del tutto sovrapponibili. Ripetendo lo stesso esercizio, per le costruzioni e per l’industria in senso stretto, i differenziali fra i due insiemi sono decisamente più ampi soprattutto se si prende in considerazione l’andamento fra 2020 e 2021. Dove vi è una maggiore presenza di edilizia la crescita di valore aggiunto totale fra 2020 e 2021 è stata del 6,5% a fronte del 5,8% delle altre province mentre se si prende in considerazione il settore secondario il divario si amplifica maggiormente (6,7 contro 5,6%).</w:t>
      </w:r>
    </w:p>
    <w:p w14:paraId="013FDD89" w14:textId="77777777" w:rsidR="00DE70E4" w:rsidRDefault="00DE70E4" w:rsidP="00D01DAE">
      <w:pPr>
        <w:spacing w:after="0" w:line="240" w:lineRule="auto"/>
        <w:ind w:left="567" w:hanging="567"/>
        <w:rPr>
          <w:b/>
          <w:bCs/>
          <w:sz w:val="18"/>
          <w:szCs w:val="18"/>
        </w:rPr>
      </w:pPr>
    </w:p>
    <w:p w14:paraId="33A87A4E" w14:textId="31E984C6" w:rsidR="001030B8" w:rsidRDefault="000F38CD" w:rsidP="005855F9">
      <w:pPr>
        <w:spacing w:after="0" w:line="240" w:lineRule="auto"/>
        <w:ind w:left="426" w:hanging="426"/>
        <w:rPr>
          <w:b/>
          <w:bCs/>
          <w:sz w:val="18"/>
          <w:szCs w:val="18"/>
        </w:rPr>
      </w:pPr>
      <w:r>
        <w:rPr>
          <w:b/>
          <w:bCs/>
          <w:sz w:val="18"/>
          <w:szCs w:val="18"/>
        </w:rPr>
        <w:t>Tab.2-Valore agg</w:t>
      </w:r>
      <w:r w:rsidR="000F318B">
        <w:rPr>
          <w:b/>
          <w:bCs/>
          <w:sz w:val="18"/>
          <w:szCs w:val="18"/>
        </w:rPr>
        <w:t>iunto nelle province italiane classificate in base all’incidenza percentuale che assumono alcuni settori</w:t>
      </w:r>
      <w:r w:rsidR="005855F9">
        <w:rPr>
          <w:b/>
          <w:bCs/>
          <w:sz w:val="18"/>
          <w:szCs w:val="18"/>
        </w:rPr>
        <w:t>. Anni 2019-2021</w:t>
      </w:r>
    </w:p>
    <w:tbl>
      <w:tblPr>
        <w:tblW w:w="9628"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217"/>
        <w:gridCol w:w="1155"/>
        <w:gridCol w:w="1155"/>
        <w:gridCol w:w="1155"/>
        <w:gridCol w:w="973"/>
        <w:gridCol w:w="973"/>
      </w:tblGrid>
      <w:tr w:rsidR="000F38CD" w:rsidRPr="000F318B" w14:paraId="582A453E" w14:textId="77777777" w:rsidTr="000F318B">
        <w:trPr>
          <w:trHeight w:val="20"/>
        </w:trPr>
        <w:tc>
          <w:tcPr>
            <w:tcW w:w="9628" w:type="dxa"/>
            <w:gridSpan w:val="6"/>
            <w:tcBorders>
              <w:top w:val="single" w:sz="4" w:space="0" w:color="auto"/>
              <w:bottom w:val="single" w:sz="4" w:space="0" w:color="auto"/>
            </w:tcBorders>
            <w:shd w:val="clear" w:color="auto" w:fill="auto"/>
            <w:vAlign w:val="center"/>
          </w:tcPr>
          <w:p w14:paraId="5033394E" w14:textId="1E59E3EF" w:rsidR="000F38CD" w:rsidRPr="000F318B" w:rsidRDefault="000F38CD" w:rsidP="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Costruzioni anno 2021</w:t>
            </w:r>
          </w:p>
        </w:tc>
      </w:tr>
      <w:tr w:rsidR="000F38CD" w:rsidRPr="000F318B" w14:paraId="37067CF6" w14:textId="77777777" w:rsidTr="000F318B">
        <w:trPr>
          <w:trHeight w:val="20"/>
        </w:trPr>
        <w:tc>
          <w:tcPr>
            <w:tcW w:w="4217" w:type="dxa"/>
            <w:tcBorders>
              <w:top w:val="single" w:sz="4" w:space="0" w:color="auto"/>
              <w:bottom w:val="single" w:sz="4" w:space="0" w:color="auto"/>
              <w:right w:val="single" w:sz="4" w:space="0" w:color="auto"/>
            </w:tcBorders>
            <w:shd w:val="clear" w:color="auto" w:fill="auto"/>
            <w:vAlign w:val="center"/>
            <w:hideMark/>
          </w:tcPr>
          <w:p w14:paraId="16AF71AC" w14:textId="0FB6E406" w:rsidR="000F38CD" w:rsidRPr="000F38CD" w:rsidRDefault="000F38CD" w:rsidP="000F38CD">
            <w:pPr>
              <w:spacing w:after="0" w:line="240" w:lineRule="auto"/>
              <w:jc w:val="center"/>
              <w:rPr>
                <w:rFonts w:eastAsia="Times New Roman" w:cstheme="minorHAnsi"/>
                <w:b/>
                <w:bCs/>
                <w:sz w:val="18"/>
                <w:szCs w:val="18"/>
                <w:lang w:eastAsia="it-IT"/>
              </w:rPr>
            </w:pPr>
          </w:p>
        </w:tc>
        <w:tc>
          <w:tcPr>
            <w:tcW w:w="1155" w:type="dxa"/>
            <w:tcBorders>
              <w:top w:val="single" w:sz="4" w:space="0" w:color="auto"/>
              <w:left w:val="single" w:sz="4" w:space="0" w:color="auto"/>
              <w:bottom w:val="single" w:sz="4" w:space="0" w:color="auto"/>
            </w:tcBorders>
            <w:shd w:val="clear" w:color="auto" w:fill="auto"/>
            <w:vAlign w:val="center"/>
            <w:hideMark/>
          </w:tcPr>
          <w:p w14:paraId="63A89066" w14:textId="5E7A7243" w:rsidR="000F38CD" w:rsidRPr="000F38CD" w:rsidRDefault="000F38CD" w:rsidP="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2019</w:t>
            </w:r>
          </w:p>
        </w:tc>
        <w:tc>
          <w:tcPr>
            <w:tcW w:w="1155" w:type="dxa"/>
            <w:tcBorders>
              <w:top w:val="single" w:sz="4" w:space="0" w:color="auto"/>
              <w:bottom w:val="single" w:sz="4" w:space="0" w:color="auto"/>
            </w:tcBorders>
            <w:shd w:val="clear" w:color="auto" w:fill="auto"/>
            <w:vAlign w:val="center"/>
            <w:hideMark/>
          </w:tcPr>
          <w:p w14:paraId="54B88CBE" w14:textId="38F0DBC8" w:rsidR="000F38CD" w:rsidRPr="000F38CD" w:rsidRDefault="000F38CD" w:rsidP="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2020</w:t>
            </w:r>
          </w:p>
        </w:tc>
        <w:tc>
          <w:tcPr>
            <w:tcW w:w="1155" w:type="dxa"/>
            <w:tcBorders>
              <w:top w:val="single" w:sz="4" w:space="0" w:color="auto"/>
              <w:bottom w:val="single" w:sz="4" w:space="0" w:color="auto"/>
            </w:tcBorders>
            <w:shd w:val="clear" w:color="auto" w:fill="auto"/>
            <w:vAlign w:val="center"/>
            <w:hideMark/>
          </w:tcPr>
          <w:p w14:paraId="46FC403F" w14:textId="201ACA23" w:rsidR="000F38CD" w:rsidRPr="000F38CD" w:rsidRDefault="000F38CD" w:rsidP="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2021</w:t>
            </w:r>
          </w:p>
        </w:tc>
        <w:tc>
          <w:tcPr>
            <w:tcW w:w="973" w:type="dxa"/>
            <w:tcBorders>
              <w:top w:val="single" w:sz="4" w:space="0" w:color="auto"/>
              <w:bottom w:val="single" w:sz="4" w:space="0" w:color="auto"/>
            </w:tcBorders>
            <w:shd w:val="clear" w:color="auto" w:fill="auto"/>
            <w:vAlign w:val="center"/>
            <w:hideMark/>
          </w:tcPr>
          <w:p w14:paraId="563987F4" w14:textId="291253A5" w:rsidR="000F38CD" w:rsidRPr="000F38CD" w:rsidRDefault="000F38CD" w:rsidP="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VAR% 2020-2021</w:t>
            </w:r>
          </w:p>
        </w:tc>
        <w:tc>
          <w:tcPr>
            <w:tcW w:w="973" w:type="dxa"/>
            <w:tcBorders>
              <w:top w:val="single" w:sz="4" w:space="0" w:color="auto"/>
              <w:bottom w:val="single" w:sz="4" w:space="0" w:color="auto"/>
            </w:tcBorders>
            <w:shd w:val="clear" w:color="auto" w:fill="auto"/>
            <w:vAlign w:val="center"/>
            <w:hideMark/>
          </w:tcPr>
          <w:p w14:paraId="78217806" w14:textId="2724474F" w:rsidR="000F38CD" w:rsidRPr="000F38CD" w:rsidRDefault="000F38CD" w:rsidP="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 xml:space="preserve">VAR% </w:t>
            </w:r>
            <w:r w:rsidRPr="000F38CD">
              <w:rPr>
                <w:rFonts w:eastAsia="Times New Roman" w:cstheme="minorHAnsi"/>
                <w:b/>
                <w:bCs/>
                <w:sz w:val="18"/>
                <w:szCs w:val="18"/>
                <w:lang w:eastAsia="it-IT"/>
              </w:rPr>
              <w:t>2019/2021</w:t>
            </w:r>
          </w:p>
        </w:tc>
      </w:tr>
      <w:tr w:rsidR="000F38CD" w:rsidRPr="000F318B" w14:paraId="3176DB3A" w14:textId="77777777" w:rsidTr="000F318B">
        <w:trPr>
          <w:trHeight w:val="20"/>
        </w:trPr>
        <w:tc>
          <w:tcPr>
            <w:tcW w:w="4217" w:type="dxa"/>
            <w:tcBorders>
              <w:top w:val="single" w:sz="4" w:space="0" w:color="auto"/>
              <w:right w:val="single" w:sz="4" w:space="0" w:color="auto"/>
            </w:tcBorders>
            <w:shd w:val="clear" w:color="auto" w:fill="auto"/>
            <w:noWrap/>
            <w:vAlign w:val="bottom"/>
            <w:hideMark/>
          </w:tcPr>
          <w:p w14:paraId="0EF4A9BC" w14:textId="17D2ED0C" w:rsidR="000F38CD" w:rsidRPr="000F38CD" w:rsidRDefault="000F38CD" w:rsidP="000F38CD">
            <w:pPr>
              <w:spacing w:after="0" w:line="240" w:lineRule="auto"/>
              <w:rPr>
                <w:rFonts w:eastAsia="Times New Roman" w:cstheme="minorHAnsi"/>
                <w:color w:val="000000"/>
                <w:sz w:val="18"/>
                <w:szCs w:val="18"/>
                <w:lang w:eastAsia="it-IT"/>
              </w:rPr>
            </w:pPr>
            <w:r w:rsidRPr="000F318B">
              <w:rPr>
                <w:rFonts w:eastAsia="Times New Roman" w:cstheme="minorHAnsi"/>
                <w:color w:val="000000"/>
                <w:sz w:val="18"/>
                <w:szCs w:val="18"/>
                <w:lang w:eastAsia="it-IT"/>
              </w:rPr>
              <w:t>Superiore</w:t>
            </w:r>
            <w:r w:rsidR="000F318B">
              <w:rPr>
                <w:rFonts w:eastAsia="Times New Roman" w:cstheme="minorHAnsi"/>
                <w:color w:val="000000"/>
                <w:sz w:val="18"/>
                <w:szCs w:val="18"/>
                <w:lang w:eastAsia="it-IT"/>
              </w:rPr>
              <w:t xml:space="preserve"> alla media nazionale</w:t>
            </w:r>
          </w:p>
        </w:tc>
        <w:tc>
          <w:tcPr>
            <w:tcW w:w="1155" w:type="dxa"/>
            <w:tcBorders>
              <w:top w:val="single" w:sz="4" w:space="0" w:color="auto"/>
              <w:left w:val="single" w:sz="4" w:space="0" w:color="auto"/>
            </w:tcBorders>
            <w:shd w:val="clear" w:color="auto" w:fill="auto"/>
            <w:noWrap/>
            <w:vAlign w:val="bottom"/>
            <w:hideMark/>
          </w:tcPr>
          <w:p w14:paraId="5B2045E5" w14:textId="77777777" w:rsidR="000F38CD" w:rsidRPr="000F38CD" w:rsidRDefault="000F38CD" w:rsidP="000F38CD">
            <w:pPr>
              <w:spacing w:after="0" w:line="240" w:lineRule="auto"/>
              <w:jc w:val="right"/>
              <w:rPr>
                <w:rFonts w:eastAsia="Times New Roman" w:cstheme="minorHAnsi"/>
                <w:color w:val="000000"/>
                <w:sz w:val="18"/>
                <w:szCs w:val="18"/>
                <w:lang w:eastAsia="it-IT"/>
              </w:rPr>
            </w:pPr>
            <w:r w:rsidRPr="000F38CD">
              <w:rPr>
                <w:rFonts w:eastAsia="Times New Roman" w:cstheme="minorHAnsi"/>
                <w:color w:val="000000"/>
                <w:sz w:val="18"/>
                <w:szCs w:val="18"/>
                <w:lang w:eastAsia="it-IT"/>
              </w:rPr>
              <w:t>745.528,3</w:t>
            </w:r>
          </w:p>
        </w:tc>
        <w:tc>
          <w:tcPr>
            <w:tcW w:w="1155" w:type="dxa"/>
            <w:tcBorders>
              <w:top w:val="single" w:sz="4" w:space="0" w:color="auto"/>
            </w:tcBorders>
            <w:shd w:val="clear" w:color="auto" w:fill="auto"/>
            <w:noWrap/>
            <w:vAlign w:val="bottom"/>
            <w:hideMark/>
          </w:tcPr>
          <w:p w14:paraId="00264FAA" w14:textId="77777777" w:rsidR="000F38CD" w:rsidRPr="000F38CD" w:rsidRDefault="000F38CD" w:rsidP="000F38CD">
            <w:pPr>
              <w:spacing w:after="0" w:line="240" w:lineRule="auto"/>
              <w:jc w:val="right"/>
              <w:rPr>
                <w:rFonts w:eastAsia="Times New Roman" w:cstheme="minorHAnsi"/>
                <w:color w:val="000000"/>
                <w:sz w:val="18"/>
                <w:szCs w:val="18"/>
                <w:lang w:eastAsia="it-IT"/>
              </w:rPr>
            </w:pPr>
            <w:r w:rsidRPr="000F38CD">
              <w:rPr>
                <w:rFonts w:eastAsia="Times New Roman" w:cstheme="minorHAnsi"/>
                <w:color w:val="000000"/>
                <w:sz w:val="18"/>
                <w:szCs w:val="18"/>
                <w:lang w:eastAsia="it-IT"/>
              </w:rPr>
              <w:t>694.068,3</w:t>
            </w:r>
          </w:p>
        </w:tc>
        <w:tc>
          <w:tcPr>
            <w:tcW w:w="1155" w:type="dxa"/>
            <w:tcBorders>
              <w:top w:val="single" w:sz="4" w:space="0" w:color="auto"/>
            </w:tcBorders>
            <w:shd w:val="clear" w:color="auto" w:fill="auto"/>
            <w:noWrap/>
            <w:vAlign w:val="bottom"/>
            <w:hideMark/>
          </w:tcPr>
          <w:p w14:paraId="58CAEEB2" w14:textId="77777777" w:rsidR="000F38CD" w:rsidRPr="000F38CD" w:rsidRDefault="000F38CD" w:rsidP="000F38CD">
            <w:pPr>
              <w:spacing w:after="0" w:line="240" w:lineRule="auto"/>
              <w:jc w:val="right"/>
              <w:rPr>
                <w:rFonts w:eastAsia="Times New Roman" w:cstheme="minorHAnsi"/>
                <w:color w:val="000000"/>
                <w:sz w:val="18"/>
                <w:szCs w:val="18"/>
                <w:lang w:eastAsia="it-IT"/>
              </w:rPr>
            </w:pPr>
            <w:r w:rsidRPr="000F38CD">
              <w:rPr>
                <w:rFonts w:eastAsia="Times New Roman" w:cstheme="minorHAnsi"/>
                <w:color w:val="000000"/>
                <w:sz w:val="18"/>
                <w:szCs w:val="18"/>
                <w:lang w:eastAsia="it-IT"/>
              </w:rPr>
              <w:t>739.155,2</w:t>
            </w:r>
          </w:p>
        </w:tc>
        <w:tc>
          <w:tcPr>
            <w:tcW w:w="973" w:type="dxa"/>
            <w:tcBorders>
              <w:top w:val="single" w:sz="4" w:space="0" w:color="auto"/>
            </w:tcBorders>
            <w:shd w:val="clear" w:color="auto" w:fill="auto"/>
            <w:noWrap/>
            <w:vAlign w:val="bottom"/>
            <w:hideMark/>
          </w:tcPr>
          <w:p w14:paraId="7C33F682" w14:textId="77777777" w:rsidR="000F38CD" w:rsidRPr="000F38CD" w:rsidRDefault="000F38CD" w:rsidP="000F38CD">
            <w:pPr>
              <w:spacing w:after="0" w:line="240" w:lineRule="auto"/>
              <w:jc w:val="right"/>
              <w:rPr>
                <w:rFonts w:eastAsia="Times New Roman" w:cstheme="minorHAnsi"/>
                <w:color w:val="000000"/>
                <w:sz w:val="18"/>
                <w:szCs w:val="18"/>
                <w:lang w:eastAsia="it-IT"/>
              </w:rPr>
            </w:pPr>
            <w:r w:rsidRPr="000F38CD">
              <w:rPr>
                <w:rFonts w:eastAsia="Times New Roman" w:cstheme="minorHAnsi"/>
                <w:color w:val="000000"/>
                <w:sz w:val="18"/>
                <w:szCs w:val="18"/>
                <w:lang w:eastAsia="it-IT"/>
              </w:rPr>
              <w:t>6,5</w:t>
            </w:r>
          </w:p>
        </w:tc>
        <w:tc>
          <w:tcPr>
            <w:tcW w:w="973" w:type="dxa"/>
            <w:tcBorders>
              <w:top w:val="single" w:sz="4" w:space="0" w:color="auto"/>
            </w:tcBorders>
            <w:shd w:val="clear" w:color="auto" w:fill="auto"/>
            <w:noWrap/>
            <w:vAlign w:val="bottom"/>
            <w:hideMark/>
          </w:tcPr>
          <w:p w14:paraId="7084CB44" w14:textId="77777777" w:rsidR="000F38CD" w:rsidRPr="000F38CD" w:rsidRDefault="000F38CD" w:rsidP="000F38CD">
            <w:pPr>
              <w:spacing w:after="0" w:line="240" w:lineRule="auto"/>
              <w:jc w:val="right"/>
              <w:rPr>
                <w:rFonts w:eastAsia="Times New Roman" w:cstheme="minorHAnsi"/>
                <w:color w:val="000000"/>
                <w:sz w:val="18"/>
                <w:szCs w:val="18"/>
                <w:lang w:eastAsia="it-IT"/>
              </w:rPr>
            </w:pPr>
            <w:r w:rsidRPr="000F38CD">
              <w:rPr>
                <w:rFonts w:eastAsia="Times New Roman" w:cstheme="minorHAnsi"/>
                <w:color w:val="000000"/>
                <w:sz w:val="18"/>
                <w:szCs w:val="18"/>
                <w:lang w:eastAsia="it-IT"/>
              </w:rPr>
              <w:t>-0,9</w:t>
            </w:r>
          </w:p>
        </w:tc>
      </w:tr>
      <w:tr w:rsidR="000F38CD" w:rsidRPr="000F318B" w14:paraId="46EBA4C3" w14:textId="77777777" w:rsidTr="000F318B">
        <w:trPr>
          <w:trHeight w:val="20"/>
        </w:trPr>
        <w:tc>
          <w:tcPr>
            <w:tcW w:w="4217" w:type="dxa"/>
            <w:tcBorders>
              <w:right w:val="single" w:sz="4" w:space="0" w:color="auto"/>
            </w:tcBorders>
            <w:shd w:val="clear" w:color="auto" w:fill="auto"/>
            <w:noWrap/>
            <w:vAlign w:val="bottom"/>
            <w:hideMark/>
          </w:tcPr>
          <w:p w14:paraId="37C50CB9" w14:textId="19A052EF" w:rsidR="000F38CD" w:rsidRPr="000F38CD" w:rsidRDefault="000F38CD" w:rsidP="000F38CD">
            <w:pPr>
              <w:spacing w:after="0" w:line="240" w:lineRule="auto"/>
              <w:rPr>
                <w:rFonts w:eastAsia="Times New Roman" w:cstheme="minorHAnsi"/>
                <w:color w:val="000000"/>
                <w:sz w:val="18"/>
                <w:szCs w:val="18"/>
                <w:lang w:eastAsia="it-IT"/>
              </w:rPr>
            </w:pPr>
            <w:r w:rsidRPr="000F318B">
              <w:rPr>
                <w:rFonts w:eastAsia="Times New Roman" w:cstheme="minorHAnsi"/>
                <w:color w:val="000000"/>
                <w:sz w:val="18"/>
                <w:szCs w:val="18"/>
                <w:lang w:eastAsia="it-IT"/>
              </w:rPr>
              <w:t>Inferiore</w:t>
            </w:r>
            <w:r w:rsidR="000F318B">
              <w:rPr>
                <w:rFonts w:eastAsia="Times New Roman" w:cstheme="minorHAnsi"/>
                <w:color w:val="000000"/>
                <w:sz w:val="18"/>
                <w:szCs w:val="18"/>
                <w:lang w:eastAsia="it-IT"/>
              </w:rPr>
              <w:t xml:space="preserve"> alla media nazionale</w:t>
            </w:r>
          </w:p>
        </w:tc>
        <w:tc>
          <w:tcPr>
            <w:tcW w:w="1155" w:type="dxa"/>
            <w:tcBorders>
              <w:left w:val="single" w:sz="4" w:space="0" w:color="auto"/>
            </w:tcBorders>
            <w:shd w:val="clear" w:color="auto" w:fill="auto"/>
            <w:noWrap/>
            <w:vAlign w:val="bottom"/>
            <w:hideMark/>
          </w:tcPr>
          <w:p w14:paraId="1D85E815" w14:textId="77777777" w:rsidR="000F38CD" w:rsidRPr="000F38CD" w:rsidRDefault="000F38CD" w:rsidP="000F38CD">
            <w:pPr>
              <w:spacing w:after="0" w:line="240" w:lineRule="auto"/>
              <w:jc w:val="right"/>
              <w:rPr>
                <w:rFonts w:eastAsia="Times New Roman" w:cstheme="minorHAnsi"/>
                <w:color w:val="000000"/>
                <w:sz w:val="18"/>
                <w:szCs w:val="18"/>
                <w:lang w:eastAsia="it-IT"/>
              </w:rPr>
            </w:pPr>
            <w:r w:rsidRPr="000F38CD">
              <w:rPr>
                <w:rFonts w:eastAsia="Times New Roman" w:cstheme="minorHAnsi"/>
                <w:color w:val="000000"/>
                <w:sz w:val="18"/>
                <w:szCs w:val="18"/>
                <w:lang w:eastAsia="it-IT"/>
              </w:rPr>
              <w:t>863.021,1</w:t>
            </w:r>
          </w:p>
        </w:tc>
        <w:tc>
          <w:tcPr>
            <w:tcW w:w="1155" w:type="dxa"/>
            <w:shd w:val="clear" w:color="auto" w:fill="auto"/>
            <w:noWrap/>
            <w:vAlign w:val="bottom"/>
            <w:hideMark/>
          </w:tcPr>
          <w:p w14:paraId="35251D0F" w14:textId="77777777" w:rsidR="000F38CD" w:rsidRPr="000F38CD" w:rsidRDefault="000F38CD" w:rsidP="000F38CD">
            <w:pPr>
              <w:spacing w:after="0" w:line="240" w:lineRule="auto"/>
              <w:jc w:val="right"/>
              <w:rPr>
                <w:rFonts w:eastAsia="Times New Roman" w:cstheme="minorHAnsi"/>
                <w:color w:val="000000"/>
                <w:sz w:val="18"/>
                <w:szCs w:val="18"/>
                <w:lang w:eastAsia="it-IT"/>
              </w:rPr>
            </w:pPr>
            <w:r w:rsidRPr="000F38CD">
              <w:rPr>
                <w:rFonts w:eastAsia="Times New Roman" w:cstheme="minorHAnsi"/>
                <w:color w:val="000000"/>
                <w:sz w:val="18"/>
                <w:szCs w:val="18"/>
                <w:lang w:eastAsia="it-IT"/>
              </w:rPr>
              <w:t>803.585,1</w:t>
            </w:r>
          </w:p>
        </w:tc>
        <w:tc>
          <w:tcPr>
            <w:tcW w:w="1155" w:type="dxa"/>
            <w:shd w:val="clear" w:color="auto" w:fill="auto"/>
            <w:noWrap/>
            <w:vAlign w:val="bottom"/>
            <w:hideMark/>
          </w:tcPr>
          <w:p w14:paraId="6BD8A176" w14:textId="77777777" w:rsidR="000F38CD" w:rsidRPr="000F38CD" w:rsidRDefault="000F38CD" w:rsidP="000F38CD">
            <w:pPr>
              <w:spacing w:after="0" w:line="240" w:lineRule="auto"/>
              <w:jc w:val="right"/>
              <w:rPr>
                <w:rFonts w:eastAsia="Times New Roman" w:cstheme="minorHAnsi"/>
                <w:color w:val="000000"/>
                <w:sz w:val="18"/>
                <w:szCs w:val="18"/>
                <w:lang w:eastAsia="it-IT"/>
              </w:rPr>
            </w:pPr>
            <w:r w:rsidRPr="000F38CD">
              <w:rPr>
                <w:rFonts w:eastAsia="Times New Roman" w:cstheme="minorHAnsi"/>
                <w:color w:val="000000"/>
                <w:sz w:val="18"/>
                <w:szCs w:val="18"/>
                <w:lang w:eastAsia="it-IT"/>
              </w:rPr>
              <w:t>850.578,6</w:t>
            </w:r>
          </w:p>
        </w:tc>
        <w:tc>
          <w:tcPr>
            <w:tcW w:w="973" w:type="dxa"/>
            <w:shd w:val="clear" w:color="auto" w:fill="auto"/>
            <w:noWrap/>
            <w:vAlign w:val="bottom"/>
            <w:hideMark/>
          </w:tcPr>
          <w:p w14:paraId="70B723F9" w14:textId="77777777" w:rsidR="000F38CD" w:rsidRPr="000F38CD" w:rsidRDefault="000F38CD" w:rsidP="000F38CD">
            <w:pPr>
              <w:spacing w:after="0" w:line="240" w:lineRule="auto"/>
              <w:jc w:val="right"/>
              <w:rPr>
                <w:rFonts w:eastAsia="Times New Roman" w:cstheme="minorHAnsi"/>
                <w:color w:val="000000"/>
                <w:sz w:val="18"/>
                <w:szCs w:val="18"/>
                <w:lang w:eastAsia="it-IT"/>
              </w:rPr>
            </w:pPr>
            <w:r w:rsidRPr="000F38CD">
              <w:rPr>
                <w:rFonts w:eastAsia="Times New Roman" w:cstheme="minorHAnsi"/>
                <w:color w:val="000000"/>
                <w:sz w:val="18"/>
                <w:szCs w:val="18"/>
                <w:lang w:eastAsia="it-IT"/>
              </w:rPr>
              <w:t>5,8</w:t>
            </w:r>
          </w:p>
        </w:tc>
        <w:tc>
          <w:tcPr>
            <w:tcW w:w="973" w:type="dxa"/>
            <w:shd w:val="clear" w:color="auto" w:fill="auto"/>
            <w:noWrap/>
            <w:vAlign w:val="bottom"/>
            <w:hideMark/>
          </w:tcPr>
          <w:p w14:paraId="3CEC0E41" w14:textId="77777777" w:rsidR="000F38CD" w:rsidRPr="000F38CD" w:rsidRDefault="000F38CD" w:rsidP="000F38CD">
            <w:pPr>
              <w:spacing w:after="0" w:line="240" w:lineRule="auto"/>
              <w:jc w:val="right"/>
              <w:rPr>
                <w:rFonts w:eastAsia="Times New Roman" w:cstheme="minorHAnsi"/>
                <w:color w:val="000000"/>
                <w:sz w:val="18"/>
                <w:szCs w:val="18"/>
                <w:lang w:eastAsia="it-IT"/>
              </w:rPr>
            </w:pPr>
            <w:r w:rsidRPr="000F38CD">
              <w:rPr>
                <w:rFonts w:eastAsia="Times New Roman" w:cstheme="minorHAnsi"/>
                <w:color w:val="000000"/>
                <w:sz w:val="18"/>
                <w:szCs w:val="18"/>
                <w:lang w:eastAsia="it-IT"/>
              </w:rPr>
              <w:t>-1,4</w:t>
            </w:r>
          </w:p>
        </w:tc>
      </w:tr>
      <w:tr w:rsidR="000F38CD" w:rsidRPr="000F318B" w14:paraId="30B1D8D8" w14:textId="77777777" w:rsidTr="000F318B">
        <w:trPr>
          <w:trHeight w:val="20"/>
        </w:trPr>
        <w:tc>
          <w:tcPr>
            <w:tcW w:w="4217" w:type="dxa"/>
            <w:tcBorders>
              <w:bottom w:val="single" w:sz="4" w:space="0" w:color="auto"/>
              <w:right w:val="single" w:sz="4" w:space="0" w:color="auto"/>
            </w:tcBorders>
            <w:shd w:val="clear" w:color="auto" w:fill="auto"/>
            <w:noWrap/>
            <w:vAlign w:val="bottom"/>
            <w:hideMark/>
          </w:tcPr>
          <w:p w14:paraId="591C9BD0" w14:textId="77777777" w:rsidR="000F38CD" w:rsidRPr="000F38CD" w:rsidRDefault="000F38CD" w:rsidP="000F38CD">
            <w:pPr>
              <w:spacing w:after="0" w:line="240" w:lineRule="auto"/>
              <w:rPr>
                <w:rFonts w:eastAsia="Times New Roman" w:cstheme="minorHAnsi"/>
                <w:b/>
                <w:bCs/>
                <w:color w:val="000000"/>
                <w:sz w:val="18"/>
                <w:szCs w:val="18"/>
                <w:lang w:eastAsia="it-IT"/>
              </w:rPr>
            </w:pPr>
            <w:r w:rsidRPr="000F38CD">
              <w:rPr>
                <w:rFonts w:eastAsia="Times New Roman" w:cstheme="minorHAnsi"/>
                <w:b/>
                <w:bCs/>
                <w:color w:val="000000"/>
                <w:sz w:val="18"/>
                <w:szCs w:val="18"/>
                <w:lang w:eastAsia="it-IT"/>
              </w:rPr>
              <w:t>TOTALE</w:t>
            </w:r>
          </w:p>
        </w:tc>
        <w:tc>
          <w:tcPr>
            <w:tcW w:w="1155" w:type="dxa"/>
            <w:tcBorders>
              <w:left w:val="single" w:sz="4" w:space="0" w:color="auto"/>
            </w:tcBorders>
            <w:shd w:val="clear" w:color="auto" w:fill="auto"/>
            <w:noWrap/>
            <w:vAlign w:val="bottom"/>
            <w:hideMark/>
          </w:tcPr>
          <w:p w14:paraId="399265A3" w14:textId="77777777" w:rsidR="000F38CD" w:rsidRPr="000F38CD" w:rsidRDefault="000F38CD" w:rsidP="000F38CD">
            <w:pPr>
              <w:spacing w:after="0" w:line="240" w:lineRule="auto"/>
              <w:jc w:val="right"/>
              <w:rPr>
                <w:rFonts w:eastAsia="Times New Roman" w:cstheme="minorHAnsi"/>
                <w:color w:val="000000"/>
                <w:sz w:val="18"/>
                <w:szCs w:val="18"/>
                <w:lang w:eastAsia="it-IT"/>
              </w:rPr>
            </w:pPr>
            <w:r w:rsidRPr="000F38CD">
              <w:rPr>
                <w:rFonts w:eastAsia="Times New Roman" w:cstheme="minorHAnsi"/>
                <w:color w:val="000000"/>
                <w:sz w:val="18"/>
                <w:szCs w:val="18"/>
                <w:lang w:eastAsia="it-IT"/>
              </w:rPr>
              <w:t>1.608.549,4</w:t>
            </w:r>
          </w:p>
        </w:tc>
        <w:tc>
          <w:tcPr>
            <w:tcW w:w="1155" w:type="dxa"/>
            <w:shd w:val="clear" w:color="auto" w:fill="auto"/>
            <w:noWrap/>
            <w:vAlign w:val="bottom"/>
            <w:hideMark/>
          </w:tcPr>
          <w:p w14:paraId="4051E758" w14:textId="77777777" w:rsidR="000F38CD" w:rsidRPr="000F38CD" w:rsidRDefault="000F38CD" w:rsidP="000F38CD">
            <w:pPr>
              <w:spacing w:after="0" w:line="240" w:lineRule="auto"/>
              <w:jc w:val="right"/>
              <w:rPr>
                <w:rFonts w:eastAsia="Times New Roman" w:cstheme="minorHAnsi"/>
                <w:color w:val="000000"/>
                <w:sz w:val="18"/>
                <w:szCs w:val="18"/>
                <w:lang w:eastAsia="it-IT"/>
              </w:rPr>
            </w:pPr>
            <w:r w:rsidRPr="000F38CD">
              <w:rPr>
                <w:rFonts w:eastAsia="Times New Roman" w:cstheme="minorHAnsi"/>
                <w:color w:val="000000"/>
                <w:sz w:val="18"/>
                <w:szCs w:val="18"/>
                <w:lang w:eastAsia="it-IT"/>
              </w:rPr>
              <w:t>1.497.653,4</w:t>
            </w:r>
          </w:p>
        </w:tc>
        <w:tc>
          <w:tcPr>
            <w:tcW w:w="1155" w:type="dxa"/>
            <w:shd w:val="clear" w:color="auto" w:fill="auto"/>
            <w:noWrap/>
            <w:vAlign w:val="bottom"/>
            <w:hideMark/>
          </w:tcPr>
          <w:p w14:paraId="2124FF9A" w14:textId="77777777" w:rsidR="000F38CD" w:rsidRPr="000F38CD" w:rsidRDefault="000F38CD" w:rsidP="000F38CD">
            <w:pPr>
              <w:spacing w:after="0" w:line="240" w:lineRule="auto"/>
              <w:jc w:val="right"/>
              <w:rPr>
                <w:rFonts w:eastAsia="Times New Roman" w:cstheme="minorHAnsi"/>
                <w:color w:val="000000"/>
                <w:sz w:val="18"/>
                <w:szCs w:val="18"/>
                <w:lang w:eastAsia="it-IT"/>
              </w:rPr>
            </w:pPr>
            <w:r w:rsidRPr="000F38CD">
              <w:rPr>
                <w:rFonts w:eastAsia="Times New Roman" w:cstheme="minorHAnsi"/>
                <w:color w:val="000000"/>
                <w:sz w:val="18"/>
                <w:szCs w:val="18"/>
                <w:lang w:eastAsia="it-IT"/>
              </w:rPr>
              <w:t>1.589.733,8</w:t>
            </w:r>
          </w:p>
        </w:tc>
        <w:tc>
          <w:tcPr>
            <w:tcW w:w="973" w:type="dxa"/>
            <w:shd w:val="clear" w:color="auto" w:fill="auto"/>
            <w:noWrap/>
            <w:vAlign w:val="bottom"/>
            <w:hideMark/>
          </w:tcPr>
          <w:p w14:paraId="236E6840" w14:textId="77777777" w:rsidR="000F38CD" w:rsidRPr="000F38CD" w:rsidRDefault="000F38CD" w:rsidP="000F38CD">
            <w:pPr>
              <w:spacing w:after="0" w:line="240" w:lineRule="auto"/>
              <w:jc w:val="right"/>
              <w:rPr>
                <w:rFonts w:eastAsia="Times New Roman" w:cstheme="minorHAnsi"/>
                <w:color w:val="000000"/>
                <w:sz w:val="18"/>
                <w:szCs w:val="18"/>
                <w:lang w:eastAsia="it-IT"/>
              </w:rPr>
            </w:pPr>
            <w:r w:rsidRPr="000F38CD">
              <w:rPr>
                <w:rFonts w:eastAsia="Times New Roman" w:cstheme="minorHAnsi"/>
                <w:color w:val="000000"/>
                <w:sz w:val="18"/>
                <w:szCs w:val="18"/>
                <w:lang w:eastAsia="it-IT"/>
              </w:rPr>
              <w:t>6,1</w:t>
            </w:r>
          </w:p>
        </w:tc>
        <w:tc>
          <w:tcPr>
            <w:tcW w:w="973" w:type="dxa"/>
            <w:shd w:val="clear" w:color="auto" w:fill="auto"/>
            <w:noWrap/>
            <w:vAlign w:val="bottom"/>
            <w:hideMark/>
          </w:tcPr>
          <w:p w14:paraId="5DA226A8" w14:textId="77777777" w:rsidR="000F38CD" w:rsidRPr="000F38CD" w:rsidRDefault="000F38CD" w:rsidP="000F38CD">
            <w:pPr>
              <w:spacing w:after="0" w:line="240" w:lineRule="auto"/>
              <w:jc w:val="right"/>
              <w:rPr>
                <w:rFonts w:eastAsia="Times New Roman" w:cstheme="minorHAnsi"/>
                <w:color w:val="000000"/>
                <w:sz w:val="18"/>
                <w:szCs w:val="18"/>
                <w:lang w:eastAsia="it-IT"/>
              </w:rPr>
            </w:pPr>
            <w:r w:rsidRPr="000F38CD">
              <w:rPr>
                <w:rFonts w:eastAsia="Times New Roman" w:cstheme="minorHAnsi"/>
                <w:color w:val="000000"/>
                <w:sz w:val="18"/>
                <w:szCs w:val="18"/>
                <w:lang w:eastAsia="it-IT"/>
              </w:rPr>
              <w:t>-1,2</w:t>
            </w:r>
          </w:p>
        </w:tc>
      </w:tr>
      <w:tr w:rsidR="000F38CD" w:rsidRPr="000F318B" w14:paraId="4F99DC49" w14:textId="77777777" w:rsidTr="000F318B">
        <w:trPr>
          <w:trHeight w:val="20"/>
        </w:trPr>
        <w:tc>
          <w:tcPr>
            <w:tcW w:w="9628" w:type="dxa"/>
            <w:gridSpan w:val="6"/>
            <w:tcBorders>
              <w:top w:val="single" w:sz="4" w:space="0" w:color="auto"/>
              <w:bottom w:val="single" w:sz="4" w:space="0" w:color="auto"/>
            </w:tcBorders>
            <w:shd w:val="clear" w:color="auto" w:fill="auto"/>
            <w:vAlign w:val="center"/>
          </w:tcPr>
          <w:p w14:paraId="797D1BA1" w14:textId="0938F931" w:rsidR="000F38CD" w:rsidRPr="000F318B" w:rsidRDefault="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lastRenderedPageBreak/>
              <w:t>Industria in senso stretto anno 2021</w:t>
            </w:r>
          </w:p>
        </w:tc>
      </w:tr>
      <w:tr w:rsidR="000F38CD" w:rsidRPr="000F318B" w14:paraId="232C82D8" w14:textId="77777777" w:rsidTr="000F318B">
        <w:trPr>
          <w:trHeight w:val="20"/>
        </w:trPr>
        <w:tc>
          <w:tcPr>
            <w:tcW w:w="4217" w:type="dxa"/>
            <w:tcBorders>
              <w:top w:val="single" w:sz="4" w:space="0" w:color="auto"/>
              <w:bottom w:val="single" w:sz="4" w:space="0" w:color="auto"/>
              <w:right w:val="single" w:sz="4" w:space="0" w:color="auto"/>
            </w:tcBorders>
            <w:shd w:val="clear" w:color="auto" w:fill="auto"/>
            <w:vAlign w:val="center"/>
            <w:hideMark/>
          </w:tcPr>
          <w:p w14:paraId="5CA4AC77" w14:textId="77777777" w:rsidR="000F38CD" w:rsidRPr="000F38CD" w:rsidRDefault="000F38CD">
            <w:pPr>
              <w:spacing w:after="0" w:line="240" w:lineRule="auto"/>
              <w:jc w:val="center"/>
              <w:rPr>
                <w:rFonts w:eastAsia="Times New Roman" w:cstheme="minorHAnsi"/>
                <w:b/>
                <w:bCs/>
                <w:sz w:val="18"/>
                <w:szCs w:val="18"/>
                <w:lang w:eastAsia="it-IT"/>
              </w:rPr>
            </w:pPr>
          </w:p>
        </w:tc>
        <w:tc>
          <w:tcPr>
            <w:tcW w:w="1155" w:type="dxa"/>
            <w:tcBorders>
              <w:top w:val="single" w:sz="4" w:space="0" w:color="auto"/>
              <w:left w:val="single" w:sz="4" w:space="0" w:color="auto"/>
              <w:bottom w:val="single" w:sz="4" w:space="0" w:color="auto"/>
            </w:tcBorders>
            <w:shd w:val="clear" w:color="auto" w:fill="auto"/>
            <w:vAlign w:val="center"/>
            <w:hideMark/>
          </w:tcPr>
          <w:p w14:paraId="34794A2A" w14:textId="77777777" w:rsidR="000F38CD" w:rsidRPr="000F38CD" w:rsidRDefault="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2019</w:t>
            </w:r>
          </w:p>
        </w:tc>
        <w:tc>
          <w:tcPr>
            <w:tcW w:w="1155" w:type="dxa"/>
            <w:tcBorders>
              <w:top w:val="single" w:sz="4" w:space="0" w:color="auto"/>
              <w:bottom w:val="single" w:sz="4" w:space="0" w:color="auto"/>
            </w:tcBorders>
            <w:shd w:val="clear" w:color="auto" w:fill="auto"/>
            <w:vAlign w:val="center"/>
            <w:hideMark/>
          </w:tcPr>
          <w:p w14:paraId="2C1F0D8B" w14:textId="77777777" w:rsidR="000F38CD" w:rsidRPr="000F38CD" w:rsidRDefault="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2020</w:t>
            </w:r>
          </w:p>
        </w:tc>
        <w:tc>
          <w:tcPr>
            <w:tcW w:w="1155" w:type="dxa"/>
            <w:tcBorders>
              <w:top w:val="single" w:sz="4" w:space="0" w:color="auto"/>
              <w:bottom w:val="single" w:sz="4" w:space="0" w:color="auto"/>
            </w:tcBorders>
            <w:shd w:val="clear" w:color="auto" w:fill="auto"/>
            <w:vAlign w:val="center"/>
            <w:hideMark/>
          </w:tcPr>
          <w:p w14:paraId="3E5750A2" w14:textId="77777777" w:rsidR="000F38CD" w:rsidRPr="000F38CD" w:rsidRDefault="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2021</w:t>
            </w:r>
          </w:p>
        </w:tc>
        <w:tc>
          <w:tcPr>
            <w:tcW w:w="973" w:type="dxa"/>
            <w:tcBorders>
              <w:top w:val="single" w:sz="4" w:space="0" w:color="auto"/>
              <w:bottom w:val="single" w:sz="4" w:space="0" w:color="auto"/>
            </w:tcBorders>
            <w:shd w:val="clear" w:color="auto" w:fill="auto"/>
            <w:vAlign w:val="center"/>
            <w:hideMark/>
          </w:tcPr>
          <w:p w14:paraId="36BD271A" w14:textId="77777777" w:rsidR="000F38CD" w:rsidRPr="000F38CD" w:rsidRDefault="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VAR% 2020-2021</w:t>
            </w:r>
          </w:p>
        </w:tc>
        <w:tc>
          <w:tcPr>
            <w:tcW w:w="973" w:type="dxa"/>
            <w:tcBorders>
              <w:top w:val="single" w:sz="4" w:space="0" w:color="auto"/>
              <w:bottom w:val="single" w:sz="4" w:space="0" w:color="auto"/>
            </w:tcBorders>
            <w:shd w:val="clear" w:color="auto" w:fill="auto"/>
            <w:vAlign w:val="center"/>
            <w:hideMark/>
          </w:tcPr>
          <w:p w14:paraId="1191D888" w14:textId="77777777" w:rsidR="000F38CD" w:rsidRPr="000F38CD" w:rsidRDefault="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 xml:space="preserve">VAR% </w:t>
            </w:r>
            <w:r w:rsidRPr="000F38CD">
              <w:rPr>
                <w:rFonts w:eastAsia="Times New Roman" w:cstheme="minorHAnsi"/>
                <w:b/>
                <w:bCs/>
                <w:sz w:val="18"/>
                <w:szCs w:val="18"/>
                <w:lang w:eastAsia="it-IT"/>
              </w:rPr>
              <w:t>2019/2021</w:t>
            </w:r>
          </w:p>
        </w:tc>
      </w:tr>
      <w:tr w:rsidR="000F318B" w:rsidRPr="000F318B" w14:paraId="5B7DCD9E" w14:textId="77777777" w:rsidTr="000F318B">
        <w:trPr>
          <w:trHeight w:val="20"/>
        </w:trPr>
        <w:tc>
          <w:tcPr>
            <w:tcW w:w="4217" w:type="dxa"/>
            <w:tcBorders>
              <w:top w:val="single" w:sz="4" w:space="0" w:color="auto"/>
              <w:right w:val="single" w:sz="4" w:space="0" w:color="auto"/>
            </w:tcBorders>
            <w:shd w:val="clear" w:color="auto" w:fill="auto"/>
            <w:noWrap/>
            <w:vAlign w:val="bottom"/>
            <w:hideMark/>
          </w:tcPr>
          <w:p w14:paraId="7DA45D1A" w14:textId="71D5F3BA" w:rsidR="000F318B" w:rsidRPr="000F38CD" w:rsidRDefault="000F318B" w:rsidP="000F318B">
            <w:pPr>
              <w:spacing w:after="0" w:line="240" w:lineRule="auto"/>
              <w:rPr>
                <w:rFonts w:eastAsia="Times New Roman" w:cstheme="minorHAnsi"/>
                <w:color w:val="000000"/>
                <w:sz w:val="18"/>
                <w:szCs w:val="18"/>
                <w:lang w:eastAsia="it-IT"/>
              </w:rPr>
            </w:pPr>
            <w:r w:rsidRPr="000F318B">
              <w:rPr>
                <w:rFonts w:eastAsia="Times New Roman" w:cstheme="minorHAnsi"/>
                <w:color w:val="000000"/>
                <w:sz w:val="18"/>
                <w:szCs w:val="18"/>
                <w:lang w:eastAsia="it-IT"/>
              </w:rPr>
              <w:t>Superiore</w:t>
            </w:r>
            <w:r>
              <w:rPr>
                <w:rFonts w:eastAsia="Times New Roman" w:cstheme="minorHAnsi"/>
                <w:color w:val="000000"/>
                <w:sz w:val="18"/>
                <w:szCs w:val="18"/>
                <w:lang w:eastAsia="it-IT"/>
              </w:rPr>
              <w:t xml:space="preserve"> alla media nazionale</w:t>
            </w:r>
          </w:p>
        </w:tc>
        <w:tc>
          <w:tcPr>
            <w:tcW w:w="1155" w:type="dxa"/>
            <w:tcBorders>
              <w:top w:val="single" w:sz="4" w:space="0" w:color="auto"/>
              <w:left w:val="single" w:sz="4" w:space="0" w:color="auto"/>
            </w:tcBorders>
            <w:shd w:val="clear" w:color="auto" w:fill="auto"/>
            <w:noWrap/>
            <w:vAlign w:val="bottom"/>
            <w:hideMark/>
          </w:tcPr>
          <w:p w14:paraId="259496F9" w14:textId="0711B933"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756.134,6</w:t>
            </w:r>
          </w:p>
        </w:tc>
        <w:tc>
          <w:tcPr>
            <w:tcW w:w="1155" w:type="dxa"/>
            <w:tcBorders>
              <w:top w:val="single" w:sz="4" w:space="0" w:color="auto"/>
            </w:tcBorders>
            <w:shd w:val="clear" w:color="auto" w:fill="auto"/>
            <w:noWrap/>
            <w:vAlign w:val="bottom"/>
            <w:hideMark/>
          </w:tcPr>
          <w:p w14:paraId="507090EB" w14:textId="21B7FD40"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700.164,8</w:t>
            </w:r>
          </w:p>
        </w:tc>
        <w:tc>
          <w:tcPr>
            <w:tcW w:w="1155" w:type="dxa"/>
            <w:tcBorders>
              <w:top w:val="single" w:sz="4" w:space="0" w:color="auto"/>
            </w:tcBorders>
            <w:shd w:val="clear" w:color="auto" w:fill="auto"/>
            <w:noWrap/>
            <w:vAlign w:val="bottom"/>
            <w:hideMark/>
          </w:tcPr>
          <w:p w14:paraId="097465A2" w14:textId="56A9B3A4"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747.310,0</w:t>
            </w:r>
          </w:p>
        </w:tc>
        <w:tc>
          <w:tcPr>
            <w:tcW w:w="973" w:type="dxa"/>
            <w:tcBorders>
              <w:top w:val="single" w:sz="4" w:space="0" w:color="auto"/>
            </w:tcBorders>
            <w:shd w:val="clear" w:color="auto" w:fill="auto"/>
            <w:noWrap/>
            <w:vAlign w:val="bottom"/>
            <w:hideMark/>
          </w:tcPr>
          <w:p w14:paraId="516BBEA8" w14:textId="6AA9379D"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6,7</w:t>
            </w:r>
          </w:p>
        </w:tc>
        <w:tc>
          <w:tcPr>
            <w:tcW w:w="973" w:type="dxa"/>
            <w:tcBorders>
              <w:top w:val="single" w:sz="4" w:space="0" w:color="auto"/>
            </w:tcBorders>
            <w:shd w:val="clear" w:color="auto" w:fill="auto"/>
            <w:noWrap/>
            <w:vAlign w:val="bottom"/>
            <w:hideMark/>
          </w:tcPr>
          <w:p w14:paraId="2D7E25D3" w14:textId="16DF66BA"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-1,2</w:t>
            </w:r>
          </w:p>
        </w:tc>
      </w:tr>
      <w:tr w:rsidR="000F318B" w:rsidRPr="000F318B" w14:paraId="108AEF5A" w14:textId="77777777" w:rsidTr="000F318B">
        <w:trPr>
          <w:trHeight w:val="20"/>
        </w:trPr>
        <w:tc>
          <w:tcPr>
            <w:tcW w:w="4217" w:type="dxa"/>
            <w:tcBorders>
              <w:right w:val="single" w:sz="4" w:space="0" w:color="auto"/>
            </w:tcBorders>
            <w:shd w:val="clear" w:color="auto" w:fill="auto"/>
            <w:noWrap/>
            <w:vAlign w:val="bottom"/>
            <w:hideMark/>
          </w:tcPr>
          <w:p w14:paraId="0446088F" w14:textId="428B10F6" w:rsidR="000F318B" w:rsidRPr="000F38CD" w:rsidRDefault="000F318B" w:rsidP="000F318B">
            <w:pPr>
              <w:spacing w:after="0" w:line="240" w:lineRule="auto"/>
              <w:rPr>
                <w:rFonts w:eastAsia="Times New Roman" w:cstheme="minorHAnsi"/>
                <w:color w:val="000000"/>
                <w:sz w:val="18"/>
                <w:szCs w:val="18"/>
                <w:lang w:eastAsia="it-IT"/>
              </w:rPr>
            </w:pPr>
            <w:r w:rsidRPr="000F318B">
              <w:rPr>
                <w:rFonts w:eastAsia="Times New Roman" w:cstheme="minorHAnsi"/>
                <w:color w:val="000000"/>
                <w:sz w:val="18"/>
                <w:szCs w:val="18"/>
                <w:lang w:eastAsia="it-IT"/>
              </w:rPr>
              <w:t>Inferiore</w:t>
            </w:r>
            <w:r>
              <w:rPr>
                <w:rFonts w:eastAsia="Times New Roman" w:cstheme="minorHAnsi"/>
                <w:color w:val="000000"/>
                <w:sz w:val="18"/>
                <w:szCs w:val="18"/>
                <w:lang w:eastAsia="it-IT"/>
              </w:rPr>
              <w:t xml:space="preserve"> alla media nazionale</w:t>
            </w:r>
          </w:p>
        </w:tc>
        <w:tc>
          <w:tcPr>
            <w:tcW w:w="1155" w:type="dxa"/>
            <w:tcBorders>
              <w:left w:val="single" w:sz="4" w:space="0" w:color="auto"/>
            </w:tcBorders>
            <w:shd w:val="clear" w:color="auto" w:fill="auto"/>
            <w:noWrap/>
            <w:vAlign w:val="bottom"/>
            <w:hideMark/>
          </w:tcPr>
          <w:p w14:paraId="0DC3077B" w14:textId="7C58DAC5"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852.414,8</w:t>
            </w:r>
          </w:p>
        </w:tc>
        <w:tc>
          <w:tcPr>
            <w:tcW w:w="1155" w:type="dxa"/>
            <w:shd w:val="clear" w:color="auto" w:fill="auto"/>
            <w:noWrap/>
            <w:vAlign w:val="bottom"/>
            <w:hideMark/>
          </w:tcPr>
          <w:p w14:paraId="0E02AFA3" w14:textId="28C26151"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797.488,6</w:t>
            </w:r>
          </w:p>
        </w:tc>
        <w:tc>
          <w:tcPr>
            <w:tcW w:w="1155" w:type="dxa"/>
            <w:shd w:val="clear" w:color="auto" w:fill="auto"/>
            <w:noWrap/>
            <w:vAlign w:val="bottom"/>
            <w:hideMark/>
          </w:tcPr>
          <w:p w14:paraId="1818AB4D" w14:textId="07D7ACB1"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842.423,8</w:t>
            </w:r>
          </w:p>
        </w:tc>
        <w:tc>
          <w:tcPr>
            <w:tcW w:w="973" w:type="dxa"/>
            <w:shd w:val="clear" w:color="auto" w:fill="auto"/>
            <w:noWrap/>
            <w:vAlign w:val="bottom"/>
            <w:hideMark/>
          </w:tcPr>
          <w:p w14:paraId="05706D76" w14:textId="024098D0"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5,6</w:t>
            </w:r>
          </w:p>
        </w:tc>
        <w:tc>
          <w:tcPr>
            <w:tcW w:w="973" w:type="dxa"/>
            <w:shd w:val="clear" w:color="auto" w:fill="auto"/>
            <w:noWrap/>
            <w:vAlign w:val="bottom"/>
            <w:hideMark/>
          </w:tcPr>
          <w:p w14:paraId="4523FC18" w14:textId="5966B38C"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-1,2</w:t>
            </w:r>
          </w:p>
        </w:tc>
      </w:tr>
      <w:tr w:rsidR="000F318B" w:rsidRPr="000F318B" w14:paraId="42F710BF" w14:textId="77777777" w:rsidTr="000F318B">
        <w:trPr>
          <w:trHeight w:val="20"/>
        </w:trPr>
        <w:tc>
          <w:tcPr>
            <w:tcW w:w="4217" w:type="dxa"/>
            <w:tcBorders>
              <w:bottom w:val="single" w:sz="4" w:space="0" w:color="auto"/>
              <w:right w:val="single" w:sz="4" w:space="0" w:color="auto"/>
            </w:tcBorders>
            <w:shd w:val="clear" w:color="auto" w:fill="auto"/>
            <w:noWrap/>
            <w:vAlign w:val="bottom"/>
            <w:hideMark/>
          </w:tcPr>
          <w:p w14:paraId="3D0CFFE0" w14:textId="77777777" w:rsidR="000F318B" w:rsidRPr="000F38CD" w:rsidRDefault="000F318B" w:rsidP="000F318B">
            <w:pPr>
              <w:spacing w:after="0" w:line="240" w:lineRule="auto"/>
              <w:rPr>
                <w:rFonts w:eastAsia="Times New Roman" w:cstheme="minorHAnsi"/>
                <w:b/>
                <w:bCs/>
                <w:color w:val="000000"/>
                <w:sz w:val="18"/>
                <w:szCs w:val="18"/>
                <w:lang w:eastAsia="it-IT"/>
              </w:rPr>
            </w:pPr>
            <w:r w:rsidRPr="000F38CD">
              <w:rPr>
                <w:rFonts w:eastAsia="Times New Roman" w:cstheme="minorHAnsi"/>
                <w:b/>
                <w:bCs/>
                <w:color w:val="000000"/>
                <w:sz w:val="18"/>
                <w:szCs w:val="18"/>
                <w:lang w:eastAsia="it-IT"/>
              </w:rPr>
              <w:t>TOTALE</w:t>
            </w:r>
          </w:p>
        </w:tc>
        <w:tc>
          <w:tcPr>
            <w:tcW w:w="1155" w:type="dxa"/>
            <w:tcBorders>
              <w:left w:val="single" w:sz="4" w:space="0" w:color="auto"/>
            </w:tcBorders>
            <w:shd w:val="clear" w:color="auto" w:fill="auto"/>
            <w:noWrap/>
            <w:vAlign w:val="bottom"/>
            <w:hideMark/>
          </w:tcPr>
          <w:p w14:paraId="36C10659" w14:textId="102B3DBC"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1.608.549,4</w:t>
            </w:r>
          </w:p>
        </w:tc>
        <w:tc>
          <w:tcPr>
            <w:tcW w:w="1155" w:type="dxa"/>
            <w:shd w:val="clear" w:color="auto" w:fill="auto"/>
            <w:noWrap/>
            <w:vAlign w:val="bottom"/>
            <w:hideMark/>
          </w:tcPr>
          <w:p w14:paraId="261D533C" w14:textId="2CA333E3"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1.497.653,4</w:t>
            </w:r>
          </w:p>
        </w:tc>
        <w:tc>
          <w:tcPr>
            <w:tcW w:w="1155" w:type="dxa"/>
            <w:shd w:val="clear" w:color="auto" w:fill="auto"/>
            <w:noWrap/>
            <w:vAlign w:val="bottom"/>
            <w:hideMark/>
          </w:tcPr>
          <w:p w14:paraId="4E0EE28A" w14:textId="01AD0340"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1.589.733,8</w:t>
            </w:r>
          </w:p>
        </w:tc>
        <w:tc>
          <w:tcPr>
            <w:tcW w:w="973" w:type="dxa"/>
            <w:shd w:val="clear" w:color="auto" w:fill="auto"/>
            <w:noWrap/>
            <w:vAlign w:val="bottom"/>
            <w:hideMark/>
          </w:tcPr>
          <w:p w14:paraId="2C159563" w14:textId="0A9F4A7F"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6,1</w:t>
            </w:r>
          </w:p>
        </w:tc>
        <w:tc>
          <w:tcPr>
            <w:tcW w:w="973" w:type="dxa"/>
            <w:shd w:val="clear" w:color="auto" w:fill="auto"/>
            <w:noWrap/>
            <w:vAlign w:val="bottom"/>
            <w:hideMark/>
          </w:tcPr>
          <w:p w14:paraId="5310B4DB" w14:textId="54D80269"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-1,2</w:t>
            </w:r>
          </w:p>
        </w:tc>
      </w:tr>
      <w:tr w:rsidR="000F38CD" w:rsidRPr="000F318B" w14:paraId="0C3B63FF" w14:textId="77777777" w:rsidTr="000F318B">
        <w:trPr>
          <w:trHeight w:val="20"/>
        </w:trPr>
        <w:tc>
          <w:tcPr>
            <w:tcW w:w="9628" w:type="dxa"/>
            <w:gridSpan w:val="6"/>
            <w:tcBorders>
              <w:top w:val="single" w:sz="4" w:space="0" w:color="auto"/>
              <w:bottom w:val="single" w:sz="4" w:space="0" w:color="auto"/>
            </w:tcBorders>
            <w:shd w:val="clear" w:color="auto" w:fill="auto"/>
            <w:vAlign w:val="center"/>
          </w:tcPr>
          <w:p w14:paraId="1B4A4B67" w14:textId="42585029" w:rsidR="000F38CD" w:rsidRPr="000F318B" w:rsidRDefault="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Turismo anno 2019</w:t>
            </w:r>
          </w:p>
        </w:tc>
      </w:tr>
      <w:tr w:rsidR="000F38CD" w:rsidRPr="000F318B" w14:paraId="033BCA0B" w14:textId="77777777" w:rsidTr="000F318B">
        <w:trPr>
          <w:trHeight w:val="20"/>
        </w:trPr>
        <w:tc>
          <w:tcPr>
            <w:tcW w:w="4217" w:type="dxa"/>
            <w:tcBorders>
              <w:top w:val="single" w:sz="4" w:space="0" w:color="auto"/>
              <w:bottom w:val="single" w:sz="4" w:space="0" w:color="auto"/>
              <w:right w:val="single" w:sz="4" w:space="0" w:color="auto"/>
            </w:tcBorders>
            <w:shd w:val="clear" w:color="auto" w:fill="auto"/>
            <w:vAlign w:val="center"/>
            <w:hideMark/>
          </w:tcPr>
          <w:p w14:paraId="5D77DC3E" w14:textId="77777777" w:rsidR="000F38CD" w:rsidRPr="000F38CD" w:rsidRDefault="000F38CD">
            <w:pPr>
              <w:spacing w:after="0" w:line="240" w:lineRule="auto"/>
              <w:jc w:val="center"/>
              <w:rPr>
                <w:rFonts w:eastAsia="Times New Roman" w:cstheme="minorHAnsi"/>
                <w:b/>
                <w:bCs/>
                <w:sz w:val="18"/>
                <w:szCs w:val="18"/>
                <w:lang w:eastAsia="it-IT"/>
              </w:rPr>
            </w:pPr>
          </w:p>
        </w:tc>
        <w:tc>
          <w:tcPr>
            <w:tcW w:w="1155" w:type="dxa"/>
            <w:tcBorders>
              <w:top w:val="single" w:sz="4" w:space="0" w:color="auto"/>
              <w:left w:val="single" w:sz="4" w:space="0" w:color="auto"/>
              <w:bottom w:val="single" w:sz="4" w:space="0" w:color="auto"/>
            </w:tcBorders>
            <w:shd w:val="clear" w:color="auto" w:fill="auto"/>
            <w:vAlign w:val="center"/>
            <w:hideMark/>
          </w:tcPr>
          <w:p w14:paraId="5A490F9D" w14:textId="77777777" w:rsidR="000F38CD" w:rsidRPr="000F38CD" w:rsidRDefault="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2019</w:t>
            </w:r>
          </w:p>
        </w:tc>
        <w:tc>
          <w:tcPr>
            <w:tcW w:w="1155" w:type="dxa"/>
            <w:tcBorders>
              <w:top w:val="single" w:sz="4" w:space="0" w:color="auto"/>
              <w:bottom w:val="single" w:sz="4" w:space="0" w:color="auto"/>
            </w:tcBorders>
            <w:shd w:val="clear" w:color="auto" w:fill="auto"/>
            <w:vAlign w:val="center"/>
            <w:hideMark/>
          </w:tcPr>
          <w:p w14:paraId="3FE8D2C0" w14:textId="77777777" w:rsidR="000F38CD" w:rsidRPr="000F38CD" w:rsidRDefault="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2020</w:t>
            </w:r>
          </w:p>
        </w:tc>
        <w:tc>
          <w:tcPr>
            <w:tcW w:w="1155" w:type="dxa"/>
            <w:tcBorders>
              <w:top w:val="single" w:sz="4" w:space="0" w:color="auto"/>
              <w:bottom w:val="single" w:sz="4" w:space="0" w:color="auto"/>
            </w:tcBorders>
            <w:shd w:val="clear" w:color="auto" w:fill="auto"/>
            <w:vAlign w:val="center"/>
            <w:hideMark/>
          </w:tcPr>
          <w:p w14:paraId="61E9EBFC" w14:textId="77777777" w:rsidR="000F38CD" w:rsidRPr="000F38CD" w:rsidRDefault="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2021</w:t>
            </w:r>
          </w:p>
        </w:tc>
        <w:tc>
          <w:tcPr>
            <w:tcW w:w="973" w:type="dxa"/>
            <w:tcBorders>
              <w:top w:val="single" w:sz="4" w:space="0" w:color="auto"/>
              <w:bottom w:val="single" w:sz="4" w:space="0" w:color="auto"/>
            </w:tcBorders>
            <w:shd w:val="clear" w:color="auto" w:fill="auto"/>
            <w:vAlign w:val="center"/>
            <w:hideMark/>
          </w:tcPr>
          <w:p w14:paraId="660F1363" w14:textId="77777777" w:rsidR="000F38CD" w:rsidRPr="000F38CD" w:rsidRDefault="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VAR% 2020-2021</w:t>
            </w:r>
          </w:p>
        </w:tc>
        <w:tc>
          <w:tcPr>
            <w:tcW w:w="973" w:type="dxa"/>
            <w:tcBorders>
              <w:top w:val="single" w:sz="4" w:space="0" w:color="auto"/>
              <w:bottom w:val="single" w:sz="4" w:space="0" w:color="auto"/>
            </w:tcBorders>
            <w:shd w:val="clear" w:color="auto" w:fill="auto"/>
            <w:vAlign w:val="center"/>
            <w:hideMark/>
          </w:tcPr>
          <w:p w14:paraId="6B67ABEE" w14:textId="77777777" w:rsidR="000F38CD" w:rsidRPr="000F38CD" w:rsidRDefault="000F38CD">
            <w:pPr>
              <w:spacing w:after="0" w:line="240" w:lineRule="auto"/>
              <w:jc w:val="center"/>
              <w:rPr>
                <w:rFonts w:eastAsia="Times New Roman" w:cstheme="minorHAnsi"/>
                <w:b/>
                <w:bCs/>
                <w:sz w:val="18"/>
                <w:szCs w:val="18"/>
                <w:lang w:eastAsia="it-IT"/>
              </w:rPr>
            </w:pPr>
            <w:r w:rsidRPr="000F318B">
              <w:rPr>
                <w:rFonts w:eastAsia="Times New Roman" w:cstheme="minorHAnsi"/>
                <w:b/>
                <w:bCs/>
                <w:sz w:val="18"/>
                <w:szCs w:val="18"/>
                <w:lang w:eastAsia="it-IT"/>
              </w:rPr>
              <w:t xml:space="preserve">VAR% </w:t>
            </w:r>
            <w:r w:rsidRPr="000F38CD">
              <w:rPr>
                <w:rFonts w:eastAsia="Times New Roman" w:cstheme="minorHAnsi"/>
                <w:b/>
                <w:bCs/>
                <w:sz w:val="18"/>
                <w:szCs w:val="18"/>
                <w:lang w:eastAsia="it-IT"/>
              </w:rPr>
              <w:t>2019/2021</w:t>
            </w:r>
          </w:p>
        </w:tc>
      </w:tr>
      <w:tr w:rsidR="000F318B" w:rsidRPr="000F318B" w14:paraId="0A4994FE" w14:textId="77777777" w:rsidTr="000F318B">
        <w:trPr>
          <w:trHeight w:val="20"/>
        </w:trPr>
        <w:tc>
          <w:tcPr>
            <w:tcW w:w="4217" w:type="dxa"/>
            <w:tcBorders>
              <w:top w:val="single" w:sz="4" w:space="0" w:color="auto"/>
              <w:right w:val="single" w:sz="4" w:space="0" w:color="auto"/>
            </w:tcBorders>
            <w:shd w:val="clear" w:color="auto" w:fill="auto"/>
            <w:noWrap/>
            <w:vAlign w:val="bottom"/>
            <w:hideMark/>
          </w:tcPr>
          <w:p w14:paraId="27C2AFC9" w14:textId="00144DF9" w:rsidR="000F318B" w:rsidRPr="000F38CD" w:rsidRDefault="000F318B" w:rsidP="000F318B">
            <w:pPr>
              <w:spacing w:after="0" w:line="240" w:lineRule="auto"/>
              <w:rPr>
                <w:rFonts w:eastAsia="Times New Roman" w:cstheme="minorHAnsi"/>
                <w:color w:val="000000"/>
                <w:sz w:val="18"/>
                <w:szCs w:val="18"/>
                <w:lang w:eastAsia="it-IT"/>
              </w:rPr>
            </w:pPr>
            <w:r w:rsidRPr="000F318B">
              <w:rPr>
                <w:rFonts w:eastAsia="Times New Roman" w:cstheme="minorHAnsi"/>
                <w:color w:val="000000"/>
                <w:sz w:val="18"/>
                <w:szCs w:val="18"/>
                <w:lang w:eastAsia="it-IT"/>
              </w:rPr>
              <w:t>Superiore</w:t>
            </w:r>
            <w:r>
              <w:rPr>
                <w:rFonts w:eastAsia="Times New Roman" w:cstheme="minorHAnsi"/>
                <w:color w:val="000000"/>
                <w:sz w:val="18"/>
                <w:szCs w:val="18"/>
                <w:lang w:eastAsia="it-IT"/>
              </w:rPr>
              <w:t xml:space="preserve"> alla media nazionale</w:t>
            </w:r>
          </w:p>
        </w:tc>
        <w:tc>
          <w:tcPr>
            <w:tcW w:w="1155" w:type="dxa"/>
            <w:tcBorders>
              <w:top w:val="single" w:sz="4" w:space="0" w:color="auto"/>
              <w:left w:val="single" w:sz="4" w:space="0" w:color="auto"/>
            </w:tcBorders>
            <w:shd w:val="clear" w:color="auto" w:fill="auto"/>
            <w:noWrap/>
            <w:vAlign w:val="bottom"/>
            <w:hideMark/>
          </w:tcPr>
          <w:p w14:paraId="72DE76CE" w14:textId="3D8C587F"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506.175,8</w:t>
            </w:r>
          </w:p>
        </w:tc>
        <w:tc>
          <w:tcPr>
            <w:tcW w:w="1155" w:type="dxa"/>
            <w:tcBorders>
              <w:top w:val="single" w:sz="4" w:space="0" w:color="auto"/>
            </w:tcBorders>
            <w:shd w:val="clear" w:color="auto" w:fill="auto"/>
            <w:noWrap/>
            <w:vAlign w:val="bottom"/>
            <w:hideMark/>
          </w:tcPr>
          <w:p w14:paraId="5B80A3F0" w14:textId="4A1C7492"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470.682,8</w:t>
            </w:r>
          </w:p>
        </w:tc>
        <w:tc>
          <w:tcPr>
            <w:tcW w:w="1155" w:type="dxa"/>
            <w:tcBorders>
              <w:top w:val="single" w:sz="4" w:space="0" w:color="auto"/>
            </w:tcBorders>
            <w:shd w:val="clear" w:color="auto" w:fill="auto"/>
            <w:noWrap/>
            <w:vAlign w:val="bottom"/>
            <w:hideMark/>
          </w:tcPr>
          <w:p w14:paraId="711E05A0" w14:textId="59F36B79"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499.125,5</w:t>
            </w:r>
          </w:p>
        </w:tc>
        <w:tc>
          <w:tcPr>
            <w:tcW w:w="973" w:type="dxa"/>
            <w:tcBorders>
              <w:top w:val="single" w:sz="4" w:space="0" w:color="auto"/>
            </w:tcBorders>
            <w:shd w:val="clear" w:color="auto" w:fill="auto"/>
            <w:noWrap/>
            <w:vAlign w:val="bottom"/>
            <w:hideMark/>
          </w:tcPr>
          <w:p w14:paraId="27CACA5B" w14:textId="3B8461FF"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6,0</w:t>
            </w:r>
          </w:p>
        </w:tc>
        <w:tc>
          <w:tcPr>
            <w:tcW w:w="973" w:type="dxa"/>
            <w:tcBorders>
              <w:top w:val="single" w:sz="4" w:space="0" w:color="auto"/>
            </w:tcBorders>
            <w:shd w:val="clear" w:color="auto" w:fill="auto"/>
            <w:noWrap/>
            <w:vAlign w:val="bottom"/>
            <w:hideMark/>
          </w:tcPr>
          <w:p w14:paraId="29C1C905" w14:textId="6406D09B"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-1,4</w:t>
            </w:r>
          </w:p>
        </w:tc>
      </w:tr>
      <w:tr w:rsidR="000F318B" w:rsidRPr="000F318B" w14:paraId="5309E61B" w14:textId="77777777" w:rsidTr="000F318B">
        <w:trPr>
          <w:trHeight w:val="20"/>
        </w:trPr>
        <w:tc>
          <w:tcPr>
            <w:tcW w:w="4217" w:type="dxa"/>
            <w:tcBorders>
              <w:right w:val="single" w:sz="4" w:space="0" w:color="auto"/>
            </w:tcBorders>
            <w:shd w:val="clear" w:color="auto" w:fill="auto"/>
            <w:noWrap/>
            <w:vAlign w:val="bottom"/>
            <w:hideMark/>
          </w:tcPr>
          <w:p w14:paraId="43E59563" w14:textId="0DF0968C" w:rsidR="000F318B" w:rsidRPr="000F38CD" w:rsidRDefault="000F318B" w:rsidP="000F318B">
            <w:pPr>
              <w:spacing w:after="0" w:line="240" w:lineRule="auto"/>
              <w:rPr>
                <w:rFonts w:eastAsia="Times New Roman" w:cstheme="minorHAnsi"/>
                <w:color w:val="000000"/>
                <w:sz w:val="18"/>
                <w:szCs w:val="18"/>
                <w:lang w:eastAsia="it-IT"/>
              </w:rPr>
            </w:pPr>
            <w:r w:rsidRPr="000F318B">
              <w:rPr>
                <w:rFonts w:eastAsia="Times New Roman" w:cstheme="minorHAnsi"/>
                <w:color w:val="000000"/>
                <w:sz w:val="18"/>
                <w:szCs w:val="18"/>
                <w:lang w:eastAsia="it-IT"/>
              </w:rPr>
              <w:t>Inferiore</w:t>
            </w:r>
            <w:r>
              <w:rPr>
                <w:rFonts w:eastAsia="Times New Roman" w:cstheme="minorHAnsi"/>
                <w:color w:val="000000"/>
                <w:sz w:val="18"/>
                <w:szCs w:val="18"/>
                <w:lang w:eastAsia="it-IT"/>
              </w:rPr>
              <w:t xml:space="preserve"> alla media nazionale</w:t>
            </w:r>
          </w:p>
        </w:tc>
        <w:tc>
          <w:tcPr>
            <w:tcW w:w="1155" w:type="dxa"/>
            <w:tcBorders>
              <w:left w:val="single" w:sz="4" w:space="0" w:color="auto"/>
            </w:tcBorders>
            <w:shd w:val="clear" w:color="auto" w:fill="auto"/>
            <w:noWrap/>
            <w:vAlign w:val="bottom"/>
            <w:hideMark/>
          </w:tcPr>
          <w:p w14:paraId="59A0CAE2" w14:textId="1670508D"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1.102.373,6</w:t>
            </w:r>
          </w:p>
        </w:tc>
        <w:tc>
          <w:tcPr>
            <w:tcW w:w="1155" w:type="dxa"/>
            <w:shd w:val="clear" w:color="auto" w:fill="auto"/>
            <w:noWrap/>
            <w:vAlign w:val="bottom"/>
            <w:hideMark/>
          </w:tcPr>
          <w:p w14:paraId="08942ABA" w14:textId="38EE4D3F"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1.026.970,6</w:t>
            </w:r>
          </w:p>
        </w:tc>
        <w:tc>
          <w:tcPr>
            <w:tcW w:w="1155" w:type="dxa"/>
            <w:shd w:val="clear" w:color="auto" w:fill="auto"/>
            <w:noWrap/>
            <w:vAlign w:val="bottom"/>
            <w:hideMark/>
          </w:tcPr>
          <w:p w14:paraId="3737E741" w14:textId="559B8EF7"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1.090.608,3</w:t>
            </w:r>
          </w:p>
        </w:tc>
        <w:tc>
          <w:tcPr>
            <w:tcW w:w="973" w:type="dxa"/>
            <w:shd w:val="clear" w:color="auto" w:fill="auto"/>
            <w:noWrap/>
            <w:vAlign w:val="bottom"/>
            <w:hideMark/>
          </w:tcPr>
          <w:p w14:paraId="76AF7F9A" w14:textId="675393B0"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6,2</w:t>
            </w:r>
          </w:p>
        </w:tc>
        <w:tc>
          <w:tcPr>
            <w:tcW w:w="973" w:type="dxa"/>
            <w:shd w:val="clear" w:color="auto" w:fill="auto"/>
            <w:noWrap/>
            <w:vAlign w:val="bottom"/>
            <w:hideMark/>
          </w:tcPr>
          <w:p w14:paraId="45BF32BA" w14:textId="4E5BA911"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-1,1</w:t>
            </w:r>
          </w:p>
        </w:tc>
      </w:tr>
      <w:tr w:rsidR="000F318B" w:rsidRPr="000F318B" w14:paraId="4C595977" w14:textId="77777777" w:rsidTr="000F318B">
        <w:trPr>
          <w:trHeight w:val="20"/>
        </w:trPr>
        <w:tc>
          <w:tcPr>
            <w:tcW w:w="4217" w:type="dxa"/>
            <w:tcBorders>
              <w:bottom w:val="single" w:sz="4" w:space="0" w:color="auto"/>
              <w:right w:val="single" w:sz="4" w:space="0" w:color="auto"/>
            </w:tcBorders>
            <w:shd w:val="clear" w:color="auto" w:fill="auto"/>
            <w:noWrap/>
            <w:vAlign w:val="bottom"/>
            <w:hideMark/>
          </w:tcPr>
          <w:p w14:paraId="3DCD8029" w14:textId="77777777" w:rsidR="000F318B" w:rsidRPr="000F38CD" w:rsidRDefault="000F318B" w:rsidP="000F318B">
            <w:pPr>
              <w:spacing w:after="0" w:line="240" w:lineRule="auto"/>
              <w:rPr>
                <w:rFonts w:eastAsia="Times New Roman" w:cstheme="minorHAnsi"/>
                <w:b/>
                <w:bCs/>
                <w:color w:val="000000"/>
                <w:sz w:val="18"/>
                <w:szCs w:val="18"/>
                <w:lang w:eastAsia="it-IT"/>
              </w:rPr>
            </w:pPr>
            <w:r w:rsidRPr="000F38CD">
              <w:rPr>
                <w:rFonts w:eastAsia="Times New Roman" w:cstheme="minorHAnsi"/>
                <w:b/>
                <w:bCs/>
                <w:color w:val="000000"/>
                <w:sz w:val="18"/>
                <w:szCs w:val="18"/>
                <w:lang w:eastAsia="it-IT"/>
              </w:rPr>
              <w:t>TOTALE</w:t>
            </w:r>
          </w:p>
        </w:tc>
        <w:tc>
          <w:tcPr>
            <w:tcW w:w="1155" w:type="dxa"/>
            <w:tcBorders>
              <w:left w:val="single" w:sz="4" w:space="0" w:color="auto"/>
            </w:tcBorders>
            <w:shd w:val="clear" w:color="auto" w:fill="auto"/>
            <w:noWrap/>
            <w:vAlign w:val="bottom"/>
            <w:hideMark/>
          </w:tcPr>
          <w:p w14:paraId="0FBA8362" w14:textId="7F7B01A9"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1.608.549,4</w:t>
            </w:r>
          </w:p>
        </w:tc>
        <w:tc>
          <w:tcPr>
            <w:tcW w:w="1155" w:type="dxa"/>
            <w:shd w:val="clear" w:color="auto" w:fill="auto"/>
            <w:noWrap/>
            <w:vAlign w:val="bottom"/>
            <w:hideMark/>
          </w:tcPr>
          <w:p w14:paraId="014EFBF4" w14:textId="4C0C4DD9"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1.497.653,4</w:t>
            </w:r>
          </w:p>
        </w:tc>
        <w:tc>
          <w:tcPr>
            <w:tcW w:w="1155" w:type="dxa"/>
            <w:shd w:val="clear" w:color="auto" w:fill="auto"/>
            <w:noWrap/>
            <w:vAlign w:val="bottom"/>
            <w:hideMark/>
          </w:tcPr>
          <w:p w14:paraId="4E247FB4" w14:textId="7716B0A0"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1.589.733,8</w:t>
            </w:r>
          </w:p>
        </w:tc>
        <w:tc>
          <w:tcPr>
            <w:tcW w:w="973" w:type="dxa"/>
            <w:shd w:val="clear" w:color="auto" w:fill="auto"/>
            <w:noWrap/>
            <w:vAlign w:val="bottom"/>
            <w:hideMark/>
          </w:tcPr>
          <w:p w14:paraId="694401D8" w14:textId="0167F81A"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6,1</w:t>
            </w:r>
          </w:p>
        </w:tc>
        <w:tc>
          <w:tcPr>
            <w:tcW w:w="973" w:type="dxa"/>
            <w:shd w:val="clear" w:color="auto" w:fill="auto"/>
            <w:noWrap/>
            <w:vAlign w:val="bottom"/>
            <w:hideMark/>
          </w:tcPr>
          <w:p w14:paraId="71079E85" w14:textId="4C363742" w:rsidR="000F318B" w:rsidRPr="000F38CD" w:rsidRDefault="000F318B" w:rsidP="000F318B">
            <w:pPr>
              <w:spacing w:after="0" w:line="240" w:lineRule="auto"/>
              <w:jc w:val="right"/>
              <w:rPr>
                <w:rFonts w:eastAsia="Times New Roman" w:cstheme="minorHAnsi"/>
                <w:color w:val="000000"/>
                <w:sz w:val="18"/>
                <w:szCs w:val="18"/>
                <w:lang w:eastAsia="it-IT"/>
              </w:rPr>
            </w:pPr>
            <w:r w:rsidRPr="000F318B">
              <w:rPr>
                <w:rFonts w:cstheme="minorHAnsi"/>
                <w:color w:val="000000"/>
                <w:sz w:val="18"/>
                <w:szCs w:val="18"/>
              </w:rPr>
              <w:t>-1,2</w:t>
            </w:r>
          </w:p>
        </w:tc>
      </w:tr>
    </w:tbl>
    <w:p w14:paraId="7040EE40" w14:textId="77777777" w:rsidR="000F318B" w:rsidRDefault="000F318B" w:rsidP="000F318B">
      <w:pPr>
        <w:spacing w:after="0" w:line="240" w:lineRule="auto"/>
        <w:ind w:left="567" w:hanging="567"/>
        <w:jc w:val="both"/>
        <w:rPr>
          <w:b/>
          <w:bCs/>
        </w:rPr>
      </w:pPr>
      <w:r w:rsidRPr="0020157D">
        <w:rPr>
          <w:b/>
          <w:bCs/>
          <w:sz w:val="18"/>
          <w:szCs w:val="18"/>
        </w:rPr>
        <w:t>Fonte: Elaborazione Centro Studi delle Camere di Commercio Guglielmo Tagliacarne su dati Unioncamere-Centro Studi delle Camere di Commercio Guglielmo Tagliacarne</w:t>
      </w:r>
      <w:r>
        <w:rPr>
          <w:b/>
          <w:bCs/>
          <w:sz w:val="18"/>
          <w:szCs w:val="18"/>
        </w:rPr>
        <w:t xml:space="preserve"> e Istat</w:t>
      </w:r>
    </w:p>
    <w:p w14:paraId="104C5865" w14:textId="02902C46" w:rsidR="000F38CD" w:rsidRDefault="000F38CD" w:rsidP="0020157D">
      <w:pPr>
        <w:spacing w:after="0" w:line="240" w:lineRule="auto"/>
        <w:rPr>
          <w:b/>
          <w:bCs/>
          <w:sz w:val="18"/>
          <w:szCs w:val="18"/>
        </w:rPr>
      </w:pPr>
    </w:p>
    <w:p w14:paraId="611AE8A2" w14:textId="77777777" w:rsidR="00D14B41" w:rsidRDefault="002D589B" w:rsidP="005B1E56">
      <w:pPr>
        <w:spacing w:after="0" w:line="276" w:lineRule="auto"/>
        <w:jc w:val="both"/>
        <w:rPr>
          <w:sz w:val="24"/>
          <w:szCs w:val="24"/>
        </w:rPr>
      </w:pPr>
      <w:r w:rsidRPr="00D14B41">
        <w:rPr>
          <w:sz w:val="24"/>
          <w:szCs w:val="24"/>
        </w:rPr>
        <w:t>Ci sono</w:t>
      </w:r>
      <w:r>
        <w:rPr>
          <w:b/>
          <w:bCs/>
          <w:sz w:val="24"/>
          <w:szCs w:val="24"/>
        </w:rPr>
        <w:t xml:space="preserve"> </w:t>
      </w:r>
      <w:r w:rsidR="005B1E56" w:rsidRPr="00E4176C">
        <w:rPr>
          <w:sz w:val="24"/>
          <w:szCs w:val="24"/>
        </w:rPr>
        <w:t>quin</w:t>
      </w:r>
      <w:r>
        <w:rPr>
          <w:sz w:val="24"/>
          <w:szCs w:val="24"/>
        </w:rPr>
        <w:t xml:space="preserve">di </w:t>
      </w:r>
      <w:r w:rsidR="005B1E56" w:rsidRPr="00E4176C">
        <w:rPr>
          <w:sz w:val="24"/>
          <w:szCs w:val="24"/>
        </w:rPr>
        <w:t xml:space="preserve">anche altri settori che hanno influenzato la mancata ripartenza terziaria. Ad essere penalizzati chiaramente sono quei territori nel quale un ruolo forte è giocato da settori ancora in difficoltà, vale a dire le attività artistiche e quelle di supporto alle imprese. </w:t>
      </w:r>
    </w:p>
    <w:p w14:paraId="7F6E34EB" w14:textId="2E3F23FC" w:rsidR="005B1E56" w:rsidRDefault="005B1E56" w:rsidP="005B1E56">
      <w:pPr>
        <w:spacing w:after="0" w:line="276" w:lineRule="auto"/>
        <w:jc w:val="both"/>
        <w:rPr>
          <w:sz w:val="24"/>
          <w:szCs w:val="24"/>
        </w:rPr>
      </w:pPr>
      <w:r w:rsidRPr="00E4176C">
        <w:rPr>
          <w:sz w:val="24"/>
          <w:szCs w:val="24"/>
        </w:rPr>
        <w:t>Due attività che hanno il loro cuore pulsante soprattutto nelle province che ospitano grandi centri e che quindi penalizzano ad esempio le performance di Milano e di Roma (con il capoluogo lombardo più indietro rispetto alla Capitale). Le nove province che sono tornate almeno in termini correnti su livelli di valore aggiunto terziario superiori a quelli del 2019 sono tutti del Mezzogiorno con l’unica eccezione di Frosinone che però si può considerare la più meridionale delle province del Centro-Nord. Grande protagonista nell’ambito di questo insieme è la Campania che ha tutte le sue cinque province con il segno più</w:t>
      </w:r>
      <w:r w:rsidR="00EF104C">
        <w:rPr>
          <w:sz w:val="24"/>
          <w:szCs w:val="24"/>
        </w:rPr>
        <w:t>,</w:t>
      </w:r>
      <w:r w:rsidRPr="00E4176C">
        <w:rPr>
          <w:sz w:val="24"/>
          <w:szCs w:val="24"/>
        </w:rPr>
        <w:t xml:space="preserve"> occupando i primi quattro posti delle province più performanti (alle già citate Avellino e Benevento vanno aggiunte Caserta e Salerno con la città metropolitana di Napoli che è settima) senza però trascurare la Sicilia presente con Trapani, Caltanissetta ed Enna.</w:t>
      </w:r>
    </w:p>
    <w:p w14:paraId="3ECA0C88" w14:textId="684F99F1" w:rsidR="005B1E56" w:rsidRDefault="005B1E56" w:rsidP="005B1E56">
      <w:pPr>
        <w:spacing w:after="0" w:line="276" w:lineRule="auto"/>
        <w:jc w:val="both"/>
        <w:rPr>
          <w:sz w:val="24"/>
          <w:szCs w:val="24"/>
        </w:rPr>
      </w:pPr>
    </w:p>
    <w:p w14:paraId="08F48350" w14:textId="77777777" w:rsidR="00F6085C" w:rsidRDefault="00F6085C">
      <w:pPr>
        <w:rPr>
          <w:b/>
          <w:bCs/>
          <w:sz w:val="18"/>
          <w:szCs w:val="18"/>
        </w:rPr>
      </w:pPr>
      <w:r>
        <w:rPr>
          <w:b/>
          <w:bCs/>
          <w:sz w:val="18"/>
          <w:szCs w:val="18"/>
        </w:rPr>
        <w:br w:type="page"/>
      </w:r>
    </w:p>
    <w:p w14:paraId="4BB52422" w14:textId="3E9C3044" w:rsidR="00010E97" w:rsidRPr="007E66C5" w:rsidRDefault="00010E97" w:rsidP="007B64AB">
      <w:pPr>
        <w:spacing w:after="0" w:line="240" w:lineRule="auto"/>
        <w:rPr>
          <w:sz w:val="24"/>
          <w:szCs w:val="24"/>
        </w:rPr>
      </w:pPr>
      <w:r w:rsidRPr="0020157D">
        <w:rPr>
          <w:b/>
          <w:bCs/>
          <w:sz w:val="18"/>
          <w:szCs w:val="18"/>
        </w:rPr>
        <w:lastRenderedPageBreak/>
        <w:t>Fig.</w:t>
      </w:r>
      <w:r>
        <w:rPr>
          <w:b/>
          <w:bCs/>
          <w:sz w:val="18"/>
          <w:szCs w:val="18"/>
        </w:rPr>
        <w:t>5</w:t>
      </w:r>
      <w:r w:rsidRPr="0020157D">
        <w:rPr>
          <w:b/>
          <w:bCs/>
          <w:sz w:val="18"/>
          <w:szCs w:val="18"/>
        </w:rPr>
        <w:t xml:space="preserve">-Variazione </w:t>
      </w:r>
      <w:r>
        <w:rPr>
          <w:b/>
          <w:bCs/>
          <w:sz w:val="18"/>
          <w:szCs w:val="18"/>
        </w:rPr>
        <w:t xml:space="preserve">percentuale </w:t>
      </w:r>
      <w:r w:rsidRPr="0020157D">
        <w:rPr>
          <w:b/>
          <w:bCs/>
          <w:sz w:val="18"/>
          <w:szCs w:val="18"/>
        </w:rPr>
        <w:t xml:space="preserve">del valore aggiunto a prezzi base e correnti </w:t>
      </w:r>
      <w:r>
        <w:rPr>
          <w:b/>
          <w:bCs/>
          <w:sz w:val="18"/>
          <w:szCs w:val="18"/>
        </w:rPr>
        <w:t xml:space="preserve">dell’agricoltura </w:t>
      </w:r>
      <w:r w:rsidRPr="0020157D">
        <w:rPr>
          <w:b/>
          <w:bCs/>
          <w:sz w:val="18"/>
          <w:szCs w:val="18"/>
        </w:rPr>
        <w:t>fra 2020 e 2021 nelle province italiane</w:t>
      </w:r>
    </w:p>
    <w:p w14:paraId="6B36B25D" w14:textId="69B02D5A" w:rsidR="00010E97" w:rsidRDefault="00F6085C" w:rsidP="00F96C8F">
      <w:pPr>
        <w:spacing w:after="0" w:line="240" w:lineRule="auto"/>
        <w:jc w:val="center"/>
        <w:rPr>
          <w:b/>
          <w:bCs/>
          <w:sz w:val="18"/>
          <w:szCs w:val="18"/>
        </w:rPr>
      </w:pPr>
      <w:r>
        <w:rPr>
          <w:b/>
          <w:bCs/>
          <w:noProof/>
          <w:sz w:val="18"/>
          <w:szCs w:val="18"/>
          <w:lang w:eastAsia="it-IT"/>
        </w:rPr>
        <w:drawing>
          <wp:inline distT="0" distB="0" distL="0" distR="0" wp14:anchorId="6BF2C2C6" wp14:editId="33F8C527">
            <wp:extent cx="5619750" cy="701992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9750" cy="7019925"/>
                    </a:xfrm>
                    <a:prstGeom prst="rect">
                      <a:avLst/>
                    </a:prstGeom>
                    <a:noFill/>
                    <a:ln>
                      <a:noFill/>
                    </a:ln>
                  </pic:spPr>
                </pic:pic>
              </a:graphicData>
            </a:graphic>
          </wp:inline>
        </w:drawing>
      </w:r>
    </w:p>
    <w:p w14:paraId="6CA0F3F0" w14:textId="062A0B7A" w:rsidR="00F96C8F" w:rsidRDefault="00F96C8F" w:rsidP="00F96C8F">
      <w:pPr>
        <w:spacing w:after="0" w:line="240" w:lineRule="auto"/>
        <w:ind w:left="567" w:hanging="567"/>
        <w:jc w:val="both"/>
        <w:rPr>
          <w:b/>
          <w:bCs/>
        </w:rPr>
      </w:pPr>
      <w:r w:rsidRPr="0020157D">
        <w:rPr>
          <w:b/>
          <w:bCs/>
          <w:sz w:val="18"/>
          <w:szCs w:val="18"/>
        </w:rPr>
        <w:t xml:space="preserve">Fonte: Elaborazione Centro Studi delle Camere di Commercio Guglielmo Tagliacarne </w:t>
      </w:r>
    </w:p>
    <w:p w14:paraId="27545545" w14:textId="4EEAB7E4" w:rsidR="00F6085C" w:rsidRDefault="00F6085C">
      <w:pPr>
        <w:rPr>
          <w:b/>
          <w:bCs/>
          <w:sz w:val="18"/>
          <w:szCs w:val="18"/>
        </w:rPr>
      </w:pPr>
      <w:r>
        <w:rPr>
          <w:b/>
          <w:bCs/>
          <w:sz w:val="18"/>
          <w:szCs w:val="18"/>
        </w:rPr>
        <w:br w:type="page"/>
      </w:r>
    </w:p>
    <w:p w14:paraId="4D6960D3" w14:textId="1A4A16AB" w:rsidR="00010E97" w:rsidRPr="0020157D" w:rsidRDefault="00010E97" w:rsidP="00F24EF9">
      <w:pPr>
        <w:rPr>
          <w:b/>
          <w:bCs/>
          <w:sz w:val="18"/>
          <w:szCs w:val="18"/>
        </w:rPr>
      </w:pPr>
      <w:r w:rsidRPr="0020157D">
        <w:rPr>
          <w:b/>
          <w:bCs/>
          <w:sz w:val="18"/>
          <w:szCs w:val="18"/>
        </w:rPr>
        <w:lastRenderedPageBreak/>
        <w:t>Fig.</w:t>
      </w:r>
      <w:r>
        <w:rPr>
          <w:b/>
          <w:bCs/>
          <w:sz w:val="18"/>
          <w:szCs w:val="18"/>
        </w:rPr>
        <w:t>6</w:t>
      </w:r>
      <w:r w:rsidRPr="0020157D">
        <w:rPr>
          <w:b/>
          <w:bCs/>
          <w:sz w:val="18"/>
          <w:szCs w:val="18"/>
        </w:rPr>
        <w:t xml:space="preserve">-Variazione </w:t>
      </w:r>
      <w:r>
        <w:rPr>
          <w:b/>
          <w:bCs/>
          <w:sz w:val="18"/>
          <w:szCs w:val="18"/>
        </w:rPr>
        <w:t xml:space="preserve">percentuale </w:t>
      </w:r>
      <w:r w:rsidRPr="0020157D">
        <w:rPr>
          <w:b/>
          <w:bCs/>
          <w:sz w:val="18"/>
          <w:szCs w:val="18"/>
        </w:rPr>
        <w:t xml:space="preserve">del valore aggiunto a prezzi base e correnti </w:t>
      </w:r>
      <w:r>
        <w:rPr>
          <w:b/>
          <w:bCs/>
          <w:sz w:val="18"/>
          <w:szCs w:val="18"/>
        </w:rPr>
        <w:t xml:space="preserve">dell’agricoltura </w:t>
      </w:r>
      <w:r w:rsidRPr="0020157D">
        <w:rPr>
          <w:b/>
          <w:bCs/>
          <w:sz w:val="18"/>
          <w:szCs w:val="18"/>
        </w:rPr>
        <w:t>fra 20</w:t>
      </w:r>
      <w:r>
        <w:rPr>
          <w:b/>
          <w:bCs/>
          <w:sz w:val="18"/>
          <w:szCs w:val="18"/>
        </w:rPr>
        <w:t>19</w:t>
      </w:r>
      <w:r w:rsidRPr="0020157D">
        <w:rPr>
          <w:b/>
          <w:bCs/>
          <w:sz w:val="18"/>
          <w:szCs w:val="18"/>
        </w:rPr>
        <w:t xml:space="preserve"> e 2021 nelle province italiane</w:t>
      </w:r>
    </w:p>
    <w:p w14:paraId="4C6D6326" w14:textId="21962EC5" w:rsidR="00010E97" w:rsidRDefault="00F6085C" w:rsidP="000866DE">
      <w:pPr>
        <w:spacing w:after="0" w:line="240" w:lineRule="auto"/>
        <w:jc w:val="center"/>
        <w:rPr>
          <w:b/>
          <w:bCs/>
          <w:sz w:val="18"/>
          <w:szCs w:val="18"/>
        </w:rPr>
      </w:pPr>
      <w:r>
        <w:rPr>
          <w:b/>
          <w:bCs/>
          <w:noProof/>
          <w:sz w:val="18"/>
          <w:szCs w:val="18"/>
          <w:lang w:eastAsia="it-IT"/>
        </w:rPr>
        <w:drawing>
          <wp:inline distT="0" distB="0" distL="0" distR="0" wp14:anchorId="05FFA17E" wp14:editId="7E91271B">
            <wp:extent cx="5724525" cy="7277100"/>
            <wp:effectExtent l="0" t="0" r="952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7277100"/>
                    </a:xfrm>
                    <a:prstGeom prst="rect">
                      <a:avLst/>
                    </a:prstGeom>
                    <a:noFill/>
                    <a:ln>
                      <a:noFill/>
                    </a:ln>
                  </pic:spPr>
                </pic:pic>
              </a:graphicData>
            </a:graphic>
          </wp:inline>
        </w:drawing>
      </w:r>
    </w:p>
    <w:p w14:paraId="082BF158" w14:textId="1D2D00A8" w:rsidR="00F96C8F" w:rsidRDefault="00F96C8F" w:rsidP="00F96C8F">
      <w:pPr>
        <w:spacing w:after="0" w:line="240" w:lineRule="auto"/>
        <w:ind w:left="567" w:hanging="567"/>
        <w:jc w:val="both"/>
        <w:rPr>
          <w:b/>
          <w:bCs/>
        </w:rPr>
      </w:pPr>
      <w:r w:rsidRPr="0020157D">
        <w:rPr>
          <w:b/>
          <w:bCs/>
          <w:sz w:val="18"/>
          <w:szCs w:val="18"/>
        </w:rPr>
        <w:t>Fonte: Elaborazione Centro Studi delle Camere di Commercio Guglielmo Tagliacarne</w:t>
      </w:r>
    </w:p>
    <w:p w14:paraId="27086589" w14:textId="198D0E11" w:rsidR="00F96C8F" w:rsidRDefault="00F96C8F">
      <w:pPr>
        <w:rPr>
          <w:b/>
          <w:bCs/>
          <w:sz w:val="18"/>
          <w:szCs w:val="18"/>
        </w:rPr>
      </w:pPr>
    </w:p>
    <w:p w14:paraId="53615520" w14:textId="580B9A3E" w:rsidR="00F6085C" w:rsidRDefault="00F6085C">
      <w:pPr>
        <w:rPr>
          <w:b/>
          <w:bCs/>
          <w:sz w:val="18"/>
          <w:szCs w:val="18"/>
        </w:rPr>
      </w:pPr>
    </w:p>
    <w:p w14:paraId="502932C2" w14:textId="578D2E71" w:rsidR="00F6085C" w:rsidRDefault="00F6085C">
      <w:pPr>
        <w:rPr>
          <w:b/>
          <w:bCs/>
          <w:sz w:val="18"/>
          <w:szCs w:val="18"/>
        </w:rPr>
      </w:pPr>
    </w:p>
    <w:p w14:paraId="5E3B8974" w14:textId="2D151044" w:rsidR="00F6085C" w:rsidRDefault="00F6085C">
      <w:pPr>
        <w:rPr>
          <w:b/>
          <w:bCs/>
          <w:sz w:val="18"/>
          <w:szCs w:val="18"/>
        </w:rPr>
      </w:pPr>
    </w:p>
    <w:p w14:paraId="1C1DD47A" w14:textId="3F6D02A5" w:rsidR="00F6085C" w:rsidRDefault="00F6085C">
      <w:pPr>
        <w:rPr>
          <w:b/>
          <w:bCs/>
          <w:sz w:val="18"/>
          <w:szCs w:val="18"/>
        </w:rPr>
      </w:pPr>
    </w:p>
    <w:p w14:paraId="5EB44BD4" w14:textId="6FD006D2" w:rsidR="00010E97" w:rsidRPr="0020157D" w:rsidRDefault="00010E97" w:rsidP="00277D04">
      <w:pPr>
        <w:rPr>
          <w:b/>
          <w:bCs/>
          <w:sz w:val="18"/>
          <w:szCs w:val="18"/>
        </w:rPr>
      </w:pPr>
      <w:r w:rsidRPr="0020157D">
        <w:rPr>
          <w:b/>
          <w:bCs/>
          <w:sz w:val="18"/>
          <w:szCs w:val="18"/>
        </w:rPr>
        <w:lastRenderedPageBreak/>
        <w:t>Fig.</w:t>
      </w:r>
      <w:r>
        <w:rPr>
          <w:b/>
          <w:bCs/>
          <w:sz w:val="18"/>
          <w:szCs w:val="18"/>
        </w:rPr>
        <w:t>7</w:t>
      </w:r>
      <w:r w:rsidRPr="0020157D">
        <w:rPr>
          <w:b/>
          <w:bCs/>
          <w:sz w:val="18"/>
          <w:szCs w:val="18"/>
        </w:rPr>
        <w:t xml:space="preserve">-Variazione </w:t>
      </w:r>
      <w:r>
        <w:rPr>
          <w:b/>
          <w:bCs/>
          <w:sz w:val="18"/>
          <w:szCs w:val="18"/>
        </w:rPr>
        <w:t xml:space="preserve">percentuale </w:t>
      </w:r>
      <w:r w:rsidRPr="0020157D">
        <w:rPr>
          <w:b/>
          <w:bCs/>
          <w:sz w:val="18"/>
          <w:szCs w:val="18"/>
        </w:rPr>
        <w:t xml:space="preserve">del valore aggiunto a prezzi base e correnti </w:t>
      </w:r>
      <w:r>
        <w:rPr>
          <w:b/>
          <w:bCs/>
          <w:sz w:val="18"/>
          <w:szCs w:val="18"/>
        </w:rPr>
        <w:t xml:space="preserve">dell’industria in senso stretto </w:t>
      </w:r>
      <w:r w:rsidRPr="0020157D">
        <w:rPr>
          <w:b/>
          <w:bCs/>
          <w:sz w:val="18"/>
          <w:szCs w:val="18"/>
        </w:rPr>
        <w:t>fra 2020 e 2021 nelle province italiane</w:t>
      </w:r>
    </w:p>
    <w:p w14:paraId="526F6642" w14:textId="6103EFF3" w:rsidR="00010E97" w:rsidRDefault="00F6085C" w:rsidP="007C3E36">
      <w:pPr>
        <w:spacing w:after="0" w:line="240" w:lineRule="auto"/>
        <w:jc w:val="center"/>
        <w:rPr>
          <w:b/>
          <w:bCs/>
          <w:sz w:val="18"/>
          <w:szCs w:val="18"/>
        </w:rPr>
      </w:pPr>
      <w:r>
        <w:rPr>
          <w:b/>
          <w:bCs/>
          <w:noProof/>
          <w:sz w:val="18"/>
          <w:szCs w:val="18"/>
          <w:lang w:eastAsia="it-IT"/>
        </w:rPr>
        <w:drawing>
          <wp:inline distT="0" distB="0" distL="0" distR="0" wp14:anchorId="55F80AC1" wp14:editId="22A2F7AA">
            <wp:extent cx="5495925" cy="7239000"/>
            <wp:effectExtent l="0" t="0" r="952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95925" cy="7239000"/>
                    </a:xfrm>
                    <a:prstGeom prst="rect">
                      <a:avLst/>
                    </a:prstGeom>
                    <a:noFill/>
                    <a:ln>
                      <a:noFill/>
                    </a:ln>
                  </pic:spPr>
                </pic:pic>
              </a:graphicData>
            </a:graphic>
          </wp:inline>
        </w:drawing>
      </w:r>
    </w:p>
    <w:p w14:paraId="5BCC5E9E" w14:textId="3561336F" w:rsidR="00F96C8F" w:rsidRDefault="00F96C8F" w:rsidP="0058775F">
      <w:pPr>
        <w:spacing w:after="0" w:line="240" w:lineRule="auto"/>
        <w:ind w:left="567" w:hanging="141"/>
        <w:jc w:val="both"/>
        <w:rPr>
          <w:b/>
          <w:bCs/>
          <w:sz w:val="18"/>
          <w:szCs w:val="18"/>
        </w:rPr>
      </w:pPr>
      <w:r w:rsidRPr="0020157D">
        <w:rPr>
          <w:b/>
          <w:bCs/>
          <w:sz w:val="18"/>
          <w:szCs w:val="18"/>
        </w:rPr>
        <w:t xml:space="preserve">Fonte: Elaborazione Centro Studi delle Camere di Commercio Guglielmo Tagliacarne </w:t>
      </w:r>
    </w:p>
    <w:p w14:paraId="6CFEF899" w14:textId="77777777" w:rsidR="00FD256B" w:rsidRDefault="00FD256B" w:rsidP="0058775F">
      <w:pPr>
        <w:spacing w:after="0" w:line="240" w:lineRule="auto"/>
        <w:ind w:left="567" w:hanging="141"/>
        <w:jc w:val="both"/>
        <w:rPr>
          <w:b/>
          <w:bCs/>
        </w:rPr>
      </w:pPr>
    </w:p>
    <w:p w14:paraId="3372CAB9" w14:textId="77777777" w:rsidR="00F6085C" w:rsidRDefault="00F6085C">
      <w:pPr>
        <w:rPr>
          <w:b/>
          <w:bCs/>
          <w:sz w:val="18"/>
          <w:szCs w:val="18"/>
        </w:rPr>
      </w:pPr>
      <w:r>
        <w:rPr>
          <w:b/>
          <w:bCs/>
          <w:sz w:val="18"/>
          <w:szCs w:val="18"/>
        </w:rPr>
        <w:br w:type="page"/>
      </w:r>
    </w:p>
    <w:p w14:paraId="2628F9D4" w14:textId="6F192A25" w:rsidR="00010E97" w:rsidRPr="0020157D" w:rsidRDefault="00010E97" w:rsidP="005449E0">
      <w:pPr>
        <w:rPr>
          <w:b/>
          <w:bCs/>
          <w:sz w:val="18"/>
          <w:szCs w:val="18"/>
        </w:rPr>
      </w:pPr>
      <w:r w:rsidRPr="0020157D">
        <w:rPr>
          <w:b/>
          <w:bCs/>
          <w:sz w:val="18"/>
          <w:szCs w:val="18"/>
        </w:rPr>
        <w:lastRenderedPageBreak/>
        <w:t>Fig.</w:t>
      </w:r>
      <w:r>
        <w:rPr>
          <w:b/>
          <w:bCs/>
          <w:sz w:val="18"/>
          <w:szCs w:val="18"/>
        </w:rPr>
        <w:t>8</w:t>
      </w:r>
      <w:r w:rsidRPr="0020157D">
        <w:rPr>
          <w:b/>
          <w:bCs/>
          <w:sz w:val="18"/>
          <w:szCs w:val="18"/>
        </w:rPr>
        <w:t xml:space="preserve">-Variazione </w:t>
      </w:r>
      <w:r>
        <w:rPr>
          <w:b/>
          <w:bCs/>
          <w:sz w:val="18"/>
          <w:szCs w:val="18"/>
        </w:rPr>
        <w:t xml:space="preserve">percentuale </w:t>
      </w:r>
      <w:r w:rsidRPr="0020157D">
        <w:rPr>
          <w:b/>
          <w:bCs/>
          <w:sz w:val="18"/>
          <w:szCs w:val="18"/>
        </w:rPr>
        <w:t xml:space="preserve">del valore aggiunto a prezzi base e correnti </w:t>
      </w:r>
      <w:r>
        <w:rPr>
          <w:b/>
          <w:bCs/>
          <w:sz w:val="18"/>
          <w:szCs w:val="18"/>
        </w:rPr>
        <w:t xml:space="preserve">dell’industria in senso stretto </w:t>
      </w:r>
      <w:r w:rsidRPr="0020157D">
        <w:rPr>
          <w:b/>
          <w:bCs/>
          <w:sz w:val="18"/>
          <w:szCs w:val="18"/>
        </w:rPr>
        <w:t>fra 20</w:t>
      </w:r>
      <w:r>
        <w:rPr>
          <w:b/>
          <w:bCs/>
          <w:sz w:val="18"/>
          <w:szCs w:val="18"/>
        </w:rPr>
        <w:t>19</w:t>
      </w:r>
      <w:r w:rsidRPr="0020157D">
        <w:rPr>
          <w:b/>
          <w:bCs/>
          <w:sz w:val="18"/>
          <w:szCs w:val="18"/>
        </w:rPr>
        <w:t xml:space="preserve"> e 2021 nelle province italiane</w:t>
      </w:r>
    </w:p>
    <w:p w14:paraId="67471FCF" w14:textId="5FDEBCC0" w:rsidR="00010E97" w:rsidRDefault="00F6085C" w:rsidP="007C3E36">
      <w:pPr>
        <w:spacing w:after="0" w:line="240" w:lineRule="auto"/>
        <w:jc w:val="center"/>
        <w:rPr>
          <w:b/>
          <w:bCs/>
          <w:sz w:val="18"/>
          <w:szCs w:val="18"/>
        </w:rPr>
      </w:pPr>
      <w:r>
        <w:rPr>
          <w:b/>
          <w:bCs/>
          <w:noProof/>
          <w:sz w:val="18"/>
          <w:szCs w:val="18"/>
          <w:lang w:eastAsia="it-IT"/>
        </w:rPr>
        <w:drawing>
          <wp:inline distT="0" distB="0" distL="0" distR="0" wp14:anchorId="471479E4" wp14:editId="77FDD4EF">
            <wp:extent cx="5905500" cy="70866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5500" cy="7086600"/>
                    </a:xfrm>
                    <a:prstGeom prst="rect">
                      <a:avLst/>
                    </a:prstGeom>
                    <a:noFill/>
                    <a:ln>
                      <a:noFill/>
                    </a:ln>
                  </pic:spPr>
                </pic:pic>
              </a:graphicData>
            </a:graphic>
          </wp:inline>
        </w:drawing>
      </w:r>
    </w:p>
    <w:p w14:paraId="4A4E54E7" w14:textId="49A21A1F" w:rsidR="00F96C8F" w:rsidRDefault="00F96C8F" w:rsidP="00F96C8F">
      <w:pPr>
        <w:spacing w:after="0" w:line="240" w:lineRule="auto"/>
        <w:ind w:left="567" w:hanging="567"/>
        <w:jc w:val="both"/>
        <w:rPr>
          <w:b/>
          <w:bCs/>
        </w:rPr>
      </w:pPr>
      <w:r w:rsidRPr="0020157D">
        <w:rPr>
          <w:b/>
          <w:bCs/>
          <w:sz w:val="18"/>
          <w:szCs w:val="18"/>
        </w:rPr>
        <w:t xml:space="preserve">Fonte: Elaborazione Centro Studi delle Camere di Commercio Guglielmo Tagliacarne </w:t>
      </w:r>
    </w:p>
    <w:p w14:paraId="20F1B858" w14:textId="7EFBE930" w:rsidR="00F6085C" w:rsidRDefault="00F6085C">
      <w:pPr>
        <w:rPr>
          <w:b/>
          <w:bCs/>
          <w:sz w:val="18"/>
          <w:szCs w:val="18"/>
        </w:rPr>
      </w:pPr>
      <w:r>
        <w:rPr>
          <w:b/>
          <w:bCs/>
          <w:sz w:val="18"/>
          <w:szCs w:val="18"/>
        </w:rPr>
        <w:br w:type="page"/>
      </w:r>
    </w:p>
    <w:p w14:paraId="3D9B7A9A" w14:textId="0C93E62B" w:rsidR="00010E97" w:rsidRPr="0020157D" w:rsidRDefault="00010E97" w:rsidP="00F6085C">
      <w:pPr>
        <w:spacing w:after="0"/>
        <w:rPr>
          <w:b/>
          <w:bCs/>
          <w:sz w:val="18"/>
          <w:szCs w:val="18"/>
        </w:rPr>
      </w:pPr>
      <w:r w:rsidRPr="0020157D">
        <w:rPr>
          <w:b/>
          <w:bCs/>
          <w:sz w:val="18"/>
          <w:szCs w:val="18"/>
        </w:rPr>
        <w:lastRenderedPageBreak/>
        <w:t>Fig.</w:t>
      </w:r>
      <w:r>
        <w:rPr>
          <w:b/>
          <w:bCs/>
          <w:sz w:val="18"/>
          <w:szCs w:val="18"/>
        </w:rPr>
        <w:t>9</w:t>
      </w:r>
      <w:r w:rsidRPr="0020157D">
        <w:rPr>
          <w:b/>
          <w:bCs/>
          <w:sz w:val="18"/>
          <w:szCs w:val="18"/>
        </w:rPr>
        <w:t xml:space="preserve">-Variazione </w:t>
      </w:r>
      <w:r>
        <w:rPr>
          <w:b/>
          <w:bCs/>
          <w:sz w:val="18"/>
          <w:szCs w:val="18"/>
        </w:rPr>
        <w:t xml:space="preserve">percentuale </w:t>
      </w:r>
      <w:r w:rsidRPr="0020157D">
        <w:rPr>
          <w:b/>
          <w:bCs/>
          <w:sz w:val="18"/>
          <w:szCs w:val="18"/>
        </w:rPr>
        <w:t xml:space="preserve">del valore aggiunto a prezzi base e correnti </w:t>
      </w:r>
      <w:r>
        <w:rPr>
          <w:b/>
          <w:bCs/>
          <w:sz w:val="18"/>
          <w:szCs w:val="18"/>
        </w:rPr>
        <w:t xml:space="preserve">delle costruzioni </w:t>
      </w:r>
      <w:r w:rsidRPr="0020157D">
        <w:rPr>
          <w:b/>
          <w:bCs/>
          <w:sz w:val="18"/>
          <w:szCs w:val="18"/>
        </w:rPr>
        <w:t>fra 2020 e 2021 nelle province italiane</w:t>
      </w:r>
    </w:p>
    <w:p w14:paraId="3759C53A" w14:textId="42C64DCD" w:rsidR="00010E97" w:rsidRDefault="00F6085C" w:rsidP="00F6085C">
      <w:pPr>
        <w:spacing w:after="0" w:line="240" w:lineRule="auto"/>
        <w:jc w:val="center"/>
        <w:rPr>
          <w:b/>
          <w:bCs/>
          <w:sz w:val="18"/>
          <w:szCs w:val="18"/>
        </w:rPr>
      </w:pPr>
      <w:r>
        <w:rPr>
          <w:b/>
          <w:bCs/>
          <w:noProof/>
          <w:sz w:val="18"/>
          <w:szCs w:val="18"/>
          <w:lang w:eastAsia="it-IT"/>
        </w:rPr>
        <w:drawing>
          <wp:inline distT="0" distB="0" distL="0" distR="0" wp14:anchorId="227FA0E7" wp14:editId="385C2A0F">
            <wp:extent cx="5734050" cy="7105650"/>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4050" cy="7105650"/>
                    </a:xfrm>
                    <a:prstGeom prst="rect">
                      <a:avLst/>
                    </a:prstGeom>
                    <a:noFill/>
                    <a:ln>
                      <a:noFill/>
                    </a:ln>
                  </pic:spPr>
                </pic:pic>
              </a:graphicData>
            </a:graphic>
          </wp:inline>
        </w:drawing>
      </w:r>
    </w:p>
    <w:p w14:paraId="1173D1A9" w14:textId="1D0B831D" w:rsidR="00F96C8F" w:rsidRDefault="00F96C8F" w:rsidP="00F96C8F">
      <w:pPr>
        <w:spacing w:after="0" w:line="240" w:lineRule="auto"/>
        <w:ind w:left="567" w:hanging="567"/>
        <w:jc w:val="both"/>
        <w:rPr>
          <w:b/>
          <w:bCs/>
        </w:rPr>
      </w:pPr>
      <w:r w:rsidRPr="0020157D">
        <w:rPr>
          <w:b/>
          <w:bCs/>
          <w:sz w:val="18"/>
          <w:szCs w:val="18"/>
        </w:rPr>
        <w:t xml:space="preserve">Fonte: Elaborazione Centro Studi delle Camere di Commercio Guglielmo Tagliacarne </w:t>
      </w:r>
    </w:p>
    <w:p w14:paraId="3164C008" w14:textId="1DF67618" w:rsidR="00F6085C" w:rsidRDefault="00F6085C">
      <w:pPr>
        <w:rPr>
          <w:b/>
          <w:bCs/>
          <w:sz w:val="18"/>
          <w:szCs w:val="18"/>
        </w:rPr>
      </w:pPr>
      <w:r>
        <w:rPr>
          <w:b/>
          <w:bCs/>
          <w:sz w:val="18"/>
          <w:szCs w:val="18"/>
        </w:rPr>
        <w:br w:type="page"/>
      </w:r>
    </w:p>
    <w:p w14:paraId="39309D15" w14:textId="4816E53A" w:rsidR="00010E97" w:rsidRPr="0020157D" w:rsidRDefault="00010E97" w:rsidP="00F6085C">
      <w:pPr>
        <w:spacing w:after="0"/>
        <w:rPr>
          <w:b/>
          <w:bCs/>
          <w:sz w:val="18"/>
          <w:szCs w:val="18"/>
        </w:rPr>
      </w:pPr>
      <w:r w:rsidRPr="0020157D">
        <w:rPr>
          <w:b/>
          <w:bCs/>
          <w:sz w:val="18"/>
          <w:szCs w:val="18"/>
        </w:rPr>
        <w:lastRenderedPageBreak/>
        <w:t>Fig.</w:t>
      </w:r>
      <w:r>
        <w:rPr>
          <w:b/>
          <w:bCs/>
          <w:sz w:val="18"/>
          <w:szCs w:val="18"/>
        </w:rPr>
        <w:t>10</w:t>
      </w:r>
      <w:r w:rsidRPr="0020157D">
        <w:rPr>
          <w:b/>
          <w:bCs/>
          <w:sz w:val="18"/>
          <w:szCs w:val="18"/>
        </w:rPr>
        <w:t xml:space="preserve">-Variazione </w:t>
      </w:r>
      <w:r>
        <w:rPr>
          <w:b/>
          <w:bCs/>
          <w:sz w:val="18"/>
          <w:szCs w:val="18"/>
        </w:rPr>
        <w:t xml:space="preserve">percentuale </w:t>
      </w:r>
      <w:r w:rsidRPr="0020157D">
        <w:rPr>
          <w:b/>
          <w:bCs/>
          <w:sz w:val="18"/>
          <w:szCs w:val="18"/>
        </w:rPr>
        <w:t xml:space="preserve">del valore aggiunto a prezzi base e correnti </w:t>
      </w:r>
      <w:r>
        <w:rPr>
          <w:b/>
          <w:bCs/>
          <w:sz w:val="18"/>
          <w:szCs w:val="18"/>
        </w:rPr>
        <w:t xml:space="preserve">delle costruzioni </w:t>
      </w:r>
      <w:r w:rsidRPr="0020157D">
        <w:rPr>
          <w:b/>
          <w:bCs/>
          <w:sz w:val="18"/>
          <w:szCs w:val="18"/>
        </w:rPr>
        <w:t>fra 20</w:t>
      </w:r>
      <w:r>
        <w:rPr>
          <w:b/>
          <w:bCs/>
          <w:sz w:val="18"/>
          <w:szCs w:val="18"/>
        </w:rPr>
        <w:t>19</w:t>
      </w:r>
      <w:r w:rsidRPr="0020157D">
        <w:rPr>
          <w:b/>
          <w:bCs/>
          <w:sz w:val="18"/>
          <w:szCs w:val="18"/>
        </w:rPr>
        <w:t xml:space="preserve"> e 2021 nelle province italiane</w:t>
      </w:r>
    </w:p>
    <w:p w14:paraId="5B126F53" w14:textId="26D3306C" w:rsidR="00010E97" w:rsidRDefault="00F6085C" w:rsidP="00010E97">
      <w:pPr>
        <w:spacing w:after="0" w:line="240" w:lineRule="auto"/>
        <w:rPr>
          <w:b/>
          <w:bCs/>
          <w:sz w:val="18"/>
          <w:szCs w:val="18"/>
        </w:rPr>
      </w:pPr>
      <w:r>
        <w:rPr>
          <w:b/>
          <w:bCs/>
          <w:noProof/>
          <w:sz w:val="18"/>
          <w:szCs w:val="18"/>
          <w:lang w:eastAsia="it-IT"/>
        </w:rPr>
        <w:drawing>
          <wp:inline distT="0" distB="0" distL="0" distR="0" wp14:anchorId="4FFCCAD5" wp14:editId="32E56EAA">
            <wp:extent cx="5686425" cy="7077075"/>
            <wp:effectExtent l="0" t="0" r="9525"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6425" cy="7077075"/>
                    </a:xfrm>
                    <a:prstGeom prst="rect">
                      <a:avLst/>
                    </a:prstGeom>
                    <a:noFill/>
                    <a:ln>
                      <a:noFill/>
                    </a:ln>
                  </pic:spPr>
                </pic:pic>
              </a:graphicData>
            </a:graphic>
          </wp:inline>
        </w:drawing>
      </w:r>
    </w:p>
    <w:p w14:paraId="3EE7FA43" w14:textId="70A26E63" w:rsidR="00F96C8F" w:rsidRDefault="00F96C8F" w:rsidP="00F96C8F">
      <w:pPr>
        <w:spacing w:after="0" w:line="240" w:lineRule="auto"/>
        <w:ind w:left="567" w:hanging="567"/>
        <w:jc w:val="both"/>
        <w:rPr>
          <w:b/>
          <w:bCs/>
        </w:rPr>
      </w:pPr>
      <w:r w:rsidRPr="0020157D">
        <w:rPr>
          <w:b/>
          <w:bCs/>
          <w:sz w:val="18"/>
          <w:szCs w:val="18"/>
        </w:rPr>
        <w:t xml:space="preserve">Fonte: Elaborazione Centro Studi delle Camere di Commercio Guglielmo Tagliacarne </w:t>
      </w:r>
    </w:p>
    <w:p w14:paraId="71B4555D" w14:textId="66410CBF" w:rsidR="00F6085C" w:rsidRDefault="00F6085C">
      <w:pPr>
        <w:rPr>
          <w:b/>
          <w:bCs/>
          <w:sz w:val="18"/>
          <w:szCs w:val="18"/>
        </w:rPr>
      </w:pPr>
      <w:r>
        <w:rPr>
          <w:b/>
          <w:bCs/>
          <w:sz w:val="18"/>
          <w:szCs w:val="18"/>
        </w:rPr>
        <w:br w:type="page"/>
      </w:r>
    </w:p>
    <w:p w14:paraId="2A9435CD" w14:textId="4172F1D5" w:rsidR="00010E97" w:rsidRPr="0020157D" w:rsidRDefault="00010E97" w:rsidP="00C41670">
      <w:pPr>
        <w:spacing w:after="0"/>
        <w:rPr>
          <w:b/>
          <w:bCs/>
          <w:sz w:val="18"/>
          <w:szCs w:val="18"/>
        </w:rPr>
      </w:pPr>
      <w:r w:rsidRPr="0020157D">
        <w:rPr>
          <w:b/>
          <w:bCs/>
          <w:sz w:val="18"/>
          <w:szCs w:val="18"/>
        </w:rPr>
        <w:lastRenderedPageBreak/>
        <w:t>Fig.</w:t>
      </w:r>
      <w:r>
        <w:rPr>
          <w:b/>
          <w:bCs/>
          <w:sz w:val="18"/>
          <w:szCs w:val="18"/>
        </w:rPr>
        <w:t>11</w:t>
      </w:r>
      <w:r w:rsidRPr="0020157D">
        <w:rPr>
          <w:b/>
          <w:bCs/>
          <w:sz w:val="18"/>
          <w:szCs w:val="18"/>
        </w:rPr>
        <w:t xml:space="preserve">-Variazione </w:t>
      </w:r>
      <w:r>
        <w:rPr>
          <w:b/>
          <w:bCs/>
          <w:sz w:val="18"/>
          <w:szCs w:val="18"/>
        </w:rPr>
        <w:t xml:space="preserve">percentuale </w:t>
      </w:r>
      <w:r w:rsidRPr="0020157D">
        <w:rPr>
          <w:b/>
          <w:bCs/>
          <w:sz w:val="18"/>
          <w:szCs w:val="18"/>
        </w:rPr>
        <w:t xml:space="preserve">del valore aggiunto a prezzi base e correnti </w:t>
      </w:r>
      <w:r>
        <w:rPr>
          <w:b/>
          <w:bCs/>
          <w:sz w:val="18"/>
          <w:szCs w:val="18"/>
        </w:rPr>
        <w:t xml:space="preserve">dei servizi </w:t>
      </w:r>
      <w:r w:rsidRPr="0020157D">
        <w:rPr>
          <w:b/>
          <w:bCs/>
          <w:sz w:val="18"/>
          <w:szCs w:val="18"/>
        </w:rPr>
        <w:t>fra 2020 e 2021 nelle province italiane</w:t>
      </w:r>
    </w:p>
    <w:p w14:paraId="247918DE" w14:textId="717F6420" w:rsidR="00010E97" w:rsidRDefault="00C41670" w:rsidP="00010E97">
      <w:pPr>
        <w:spacing w:after="0" w:line="240" w:lineRule="auto"/>
        <w:rPr>
          <w:b/>
          <w:bCs/>
          <w:sz w:val="18"/>
          <w:szCs w:val="18"/>
        </w:rPr>
      </w:pPr>
      <w:r>
        <w:rPr>
          <w:b/>
          <w:bCs/>
          <w:noProof/>
          <w:sz w:val="18"/>
          <w:szCs w:val="18"/>
          <w:lang w:eastAsia="it-IT"/>
        </w:rPr>
        <w:drawing>
          <wp:inline distT="0" distB="0" distL="0" distR="0" wp14:anchorId="5DBA3EEB" wp14:editId="794BF192">
            <wp:extent cx="5953125" cy="7029450"/>
            <wp:effectExtent l="0" t="0" r="9525"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53125" cy="7029450"/>
                    </a:xfrm>
                    <a:prstGeom prst="rect">
                      <a:avLst/>
                    </a:prstGeom>
                    <a:noFill/>
                    <a:ln>
                      <a:noFill/>
                    </a:ln>
                  </pic:spPr>
                </pic:pic>
              </a:graphicData>
            </a:graphic>
          </wp:inline>
        </w:drawing>
      </w:r>
    </w:p>
    <w:p w14:paraId="3D9F4ED7" w14:textId="77777777" w:rsidR="00854549" w:rsidRDefault="00F96C8F" w:rsidP="0070188F">
      <w:pPr>
        <w:spacing w:after="0" w:line="240" w:lineRule="auto"/>
        <w:ind w:left="567" w:hanging="567"/>
        <w:jc w:val="both"/>
        <w:rPr>
          <w:b/>
          <w:bCs/>
        </w:rPr>
      </w:pPr>
      <w:r w:rsidRPr="0020157D">
        <w:rPr>
          <w:b/>
          <w:bCs/>
          <w:sz w:val="18"/>
          <w:szCs w:val="18"/>
        </w:rPr>
        <w:t xml:space="preserve">Fonte: Elaborazione Centro Studi delle Camere di Commercio Guglielmo Tagliacarne </w:t>
      </w:r>
    </w:p>
    <w:p w14:paraId="2F00C012" w14:textId="77777777" w:rsidR="00854549" w:rsidRDefault="00854549" w:rsidP="0070188F">
      <w:pPr>
        <w:spacing w:after="0" w:line="240" w:lineRule="auto"/>
        <w:ind w:left="567" w:hanging="567"/>
        <w:jc w:val="both"/>
        <w:rPr>
          <w:b/>
          <w:bCs/>
          <w:sz w:val="18"/>
          <w:szCs w:val="18"/>
        </w:rPr>
      </w:pPr>
    </w:p>
    <w:p w14:paraId="4A54E362" w14:textId="77777777" w:rsidR="00C41670" w:rsidRDefault="00C41670">
      <w:pPr>
        <w:rPr>
          <w:b/>
          <w:bCs/>
          <w:sz w:val="18"/>
          <w:szCs w:val="18"/>
        </w:rPr>
      </w:pPr>
      <w:r>
        <w:rPr>
          <w:b/>
          <w:bCs/>
          <w:sz w:val="18"/>
          <w:szCs w:val="18"/>
        </w:rPr>
        <w:br w:type="page"/>
      </w:r>
    </w:p>
    <w:p w14:paraId="1F17B510" w14:textId="53143C29" w:rsidR="00F96C8F" w:rsidRPr="0070188F" w:rsidRDefault="00010E97" w:rsidP="0070188F">
      <w:pPr>
        <w:spacing w:after="0" w:line="240" w:lineRule="auto"/>
        <w:ind w:left="567" w:hanging="567"/>
        <w:jc w:val="both"/>
        <w:rPr>
          <w:b/>
          <w:bCs/>
        </w:rPr>
      </w:pPr>
      <w:r w:rsidRPr="0020157D">
        <w:rPr>
          <w:b/>
          <w:bCs/>
          <w:sz w:val="18"/>
          <w:szCs w:val="18"/>
        </w:rPr>
        <w:lastRenderedPageBreak/>
        <w:t>Fig.</w:t>
      </w:r>
      <w:r>
        <w:rPr>
          <w:b/>
          <w:bCs/>
          <w:sz w:val="18"/>
          <w:szCs w:val="18"/>
        </w:rPr>
        <w:t>12</w:t>
      </w:r>
      <w:r w:rsidRPr="0020157D">
        <w:rPr>
          <w:b/>
          <w:bCs/>
          <w:sz w:val="18"/>
          <w:szCs w:val="18"/>
        </w:rPr>
        <w:t xml:space="preserve">-Variazione </w:t>
      </w:r>
      <w:r>
        <w:rPr>
          <w:b/>
          <w:bCs/>
          <w:sz w:val="18"/>
          <w:szCs w:val="18"/>
        </w:rPr>
        <w:t xml:space="preserve">percentuale </w:t>
      </w:r>
      <w:r w:rsidRPr="0020157D">
        <w:rPr>
          <w:b/>
          <w:bCs/>
          <w:sz w:val="18"/>
          <w:szCs w:val="18"/>
        </w:rPr>
        <w:t xml:space="preserve">del valore aggiunto a prezzi base e correnti </w:t>
      </w:r>
      <w:r>
        <w:rPr>
          <w:b/>
          <w:bCs/>
          <w:sz w:val="18"/>
          <w:szCs w:val="18"/>
        </w:rPr>
        <w:t xml:space="preserve">dei servizi </w:t>
      </w:r>
      <w:r w:rsidRPr="0020157D">
        <w:rPr>
          <w:b/>
          <w:bCs/>
          <w:sz w:val="18"/>
          <w:szCs w:val="18"/>
        </w:rPr>
        <w:t>fra 20</w:t>
      </w:r>
      <w:r>
        <w:rPr>
          <w:b/>
          <w:bCs/>
          <w:sz w:val="18"/>
          <w:szCs w:val="18"/>
        </w:rPr>
        <w:t>19</w:t>
      </w:r>
      <w:r w:rsidRPr="0020157D">
        <w:rPr>
          <w:b/>
          <w:bCs/>
          <w:sz w:val="18"/>
          <w:szCs w:val="18"/>
        </w:rPr>
        <w:t xml:space="preserve"> e 2021 nelle province italiane</w:t>
      </w:r>
    </w:p>
    <w:p w14:paraId="7C9D2B2A" w14:textId="28C61B5B" w:rsidR="00C41670" w:rsidRDefault="00C41670" w:rsidP="00F96C8F">
      <w:pPr>
        <w:spacing w:after="0" w:line="240" w:lineRule="auto"/>
        <w:ind w:left="567" w:hanging="567"/>
        <w:jc w:val="both"/>
        <w:rPr>
          <w:b/>
          <w:bCs/>
          <w:sz w:val="18"/>
          <w:szCs w:val="18"/>
        </w:rPr>
      </w:pPr>
      <w:r>
        <w:rPr>
          <w:b/>
          <w:bCs/>
          <w:noProof/>
          <w:sz w:val="18"/>
          <w:szCs w:val="18"/>
          <w:lang w:eastAsia="it-IT"/>
        </w:rPr>
        <w:drawing>
          <wp:inline distT="0" distB="0" distL="0" distR="0" wp14:anchorId="15C3D5FB" wp14:editId="1152990C">
            <wp:extent cx="5734050" cy="6981825"/>
            <wp:effectExtent l="0" t="0" r="0" b="952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4050" cy="6981825"/>
                    </a:xfrm>
                    <a:prstGeom prst="rect">
                      <a:avLst/>
                    </a:prstGeom>
                    <a:noFill/>
                    <a:ln>
                      <a:noFill/>
                    </a:ln>
                  </pic:spPr>
                </pic:pic>
              </a:graphicData>
            </a:graphic>
          </wp:inline>
        </w:drawing>
      </w:r>
    </w:p>
    <w:p w14:paraId="03C0EA38" w14:textId="1021D2B5" w:rsidR="00F96C8F" w:rsidRDefault="00F96C8F" w:rsidP="00F96C8F">
      <w:pPr>
        <w:spacing w:after="0" w:line="240" w:lineRule="auto"/>
        <w:ind w:left="567" w:hanging="567"/>
        <w:jc w:val="both"/>
        <w:rPr>
          <w:b/>
          <w:bCs/>
        </w:rPr>
      </w:pPr>
      <w:r w:rsidRPr="0020157D">
        <w:rPr>
          <w:b/>
          <w:bCs/>
          <w:sz w:val="18"/>
          <w:szCs w:val="18"/>
        </w:rPr>
        <w:t xml:space="preserve">Fonte: Elaborazione Centro Studi delle Camere di Commercio Guglielmo Tagliacarne </w:t>
      </w:r>
    </w:p>
    <w:p w14:paraId="247EE532" w14:textId="77777777" w:rsidR="00425C27" w:rsidRDefault="00425C27" w:rsidP="007B11B8">
      <w:pPr>
        <w:rPr>
          <w:b/>
          <w:bCs/>
          <w:sz w:val="18"/>
          <w:szCs w:val="18"/>
        </w:rPr>
      </w:pPr>
    </w:p>
    <w:p w14:paraId="72D69C82" w14:textId="77777777" w:rsidR="00C41670" w:rsidRDefault="00C41670">
      <w:pPr>
        <w:rPr>
          <w:b/>
          <w:bCs/>
          <w:i/>
          <w:iCs/>
          <w:sz w:val="24"/>
          <w:szCs w:val="24"/>
        </w:rPr>
      </w:pPr>
      <w:r>
        <w:rPr>
          <w:b/>
          <w:bCs/>
          <w:i/>
          <w:iCs/>
          <w:sz w:val="24"/>
          <w:szCs w:val="24"/>
        </w:rPr>
        <w:br w:type="page"/>
      </w:r>
    </w:p>
    <w:p w14:paraId="64ABA751" w14:textId="214BD0C1" w:rsidR="00DE70E4" w:rsidRPr="007B64AB" w:rsidRDefault="00A22544" w:rsidP="007B64AB">
      <w:pPr>
        <w:pStyle w:val="Titolo1"/>
        <w:numPr>
          <w:ilvl w:val="0"/>
          <w:numId w:val="4"/>
        </w:numPr>
        <w:spacing w:before="200" w:after="200" w:line="240" w:lineRule="auto"/>
        <w:ind w:left="714" w:hanging="357"/>
        <w:rPr>
          <w:rFonts w:asciiTheme="minorHAnsi" w:hAnsiTheme="minorHAnsi" w:cstheme="minorHAnsi"/>
          <w:b/>
          <w:bCs/>
          <w:color w:val="auto"/>
          <w:sz w:val="28"/>
          <w:szCs w:val="28"/>
        </w:rPr>
      </w:pPr>
      <w:bookmarkStart w:id="11" w:name="_Toc113528119"/>
      <w:r w:rsidRPr="007B64AB">
        <w:rPr>
          <w:rFonts w:asciiTheme="minorHAnsi" w:hAnsiTheme="minorHAnsi" w:cstheme="minorHAnsi"/>
          <w:b/>
          <w:bCs/>
          <w:color w:val="auto"/>
          <w:sz w:val="28"/>
          <w:szCs w:val="28"/>
        </w:rPr>
        <w:lastRenderedPageBreak/>
        <w:t xml:space="preserve">Le caratteristiche territoriali degli andamenti del valore aggiunto pre e post </w:t>
      </w:r>
      <w:r w:rsidR="00B0574A">
        <w:rPr>
          <w:rFonts w:asciiTheme="minorHAnsi" w:hAnsiTheme="minorHAnsi" w:cstheme="minorHAnsi"/>
          <w:b/>
          <w:bCs/>
          <w:color w:val="auto"/>
          <w:sz w:val="28"/>
          <w:szCs w:val="28"/>
        </w:rPr>
        <w:t>C</w:t>
      </w:r>
      <w:r w:rsidRPr="007B64AB">
        <w:rPr>
          <w:rFonts w:asciiTheme="minorHAnsi" w:hAnsiTheme="minorHAnsi" w:cstheme="minorHAnsi"/>
          <w:b/>
          <w:bCs/>
          <w:color w:val="auto"/>
          <w:sz w:val="28"/>
          <w:szCs w:val="28"/>
        </w:rPr>
        <w:t>ovid</w:t>
      </w:r>
      <w:bookmarkEnd w:id="11"/>
      <w:r w:rsidR="00B0574A">
        <w:rPr>
          <w:rFonts w:asciiTheme="minorHAnsi" w:hAnsiTheme="minorHAnsi" w:cstheme="minorHAnsi"/>
          <w:b/>
          <w:bCs/>
          <w:color w:val="auto"/>
          <w:sz w:val="28"/>
          <w:szCs w:val="28"/>
        </w:rPr>
        <w:t>-19</w:t>
      </w:r>
    </w:p>
    <w:p w14:paraId="110083EB" w14:textId="1A0F3CA8" w:rsidR="00A310FB" w:rsidRDefault="00A310FB" w:rsidP="00C41670">
      <w:pPr>
        <w:spacing w:after="0" w:line="276" w:lineRule="auto"/>
        <w:jc w:val="both"/>
        <w:rPr>
          <w:sz w:val="24"/>
          <w:szCs w:val="24"/>
        </w:rPr>
      </w:pPr>
      <w:r>
        <w:rPr>
          <w:sz w:val="24"/>
          <w:szCs w:val="24"/>
        </w:rPr>
        <w:t xml:space="preserve">In precedenza si è verificato </w:t>
      </w:r>
      <w:r w:rsidR="00BF2963" w:rsidRPr="00BF2963">
        <w:rPr>
          <w:sz w:val="24"/>
          <w:szCs w:val="24"/>
        </w:rPr>
        <w:t xml:space="preserve">come </w:t>
      </w:r>
      <w:r w:rsidR="00BF2963">
        <w:rPr>
          <w:sz w:val="24"/>
          <w:szCs w:val="24"/>
        </w:rPr>
        <w:t>la stagione del Covid abbia colpito in maniera più marcata il Nord rispetto al Centro Sud con la conseguenza che il ritorno alle posizioni pre</w:t>
      </w:r>
      <w:r w:rsidR="00AC50CA">
        <w:rPr>
          <w:sz w:val="24"/>
          <w:szCs w:val="24"/>
        </w:rPr>
        <w:t>-</w:t>
      </w:r>
      <w:r w:rsidR="00BF2963">
        <w:rPr>
          <w:sz w:val="24"/>
          <w:szCs w:val="24"/>
        </w:rPr>
        <w:t xml:space="preserve">pandemia </w:t>
      </w:r>
      <w:r w:rsidR="00106696">
        <w:rPr>
          <w:sz w:val="24"/>
          <w:szCs w:val="24"/>
        </w:rPr>
        <w:t xml:space="preserve">ha riguardato maggiormente quest’ultima area rispetto al Settentrione. </w:t>
      </w:r>
      <w:r w:rsidR="0030594F">
        <w:rPr>
          <w:sz w:val="24"/>
          <w:szCs w:val="24"/>
        </w:rPr>
        <w:t xml:space="preserve">È </w:t>
      </w:r>
      <w:r w:rsidR="00106696">
        <w:rPr>
          <w:sz w:val="24"/>
          <w:szCs w:val="24"/>
        </w:rPr>
        <w:t xml:space="preserve">l’unica chiave di lettura territoriale di rilievo </w:t>
      </w:r>
      <w:r w:rsidR="00D61989">
        <w:rPr>
          <w:sz w:val="24"/>
          <w:szCs w:val="24"/>
        </w:rPr>
        <w:t xml:space="preserve">che caratterizza questi andamenti o se ne possono rivenire altre? </w:t>
      </w:r>
    </w:p>
    <w:p w14:paraId="10DD3AD7" w14:textId="3DD0DECF" w:rsidR="00DD091D" w:rsidRDefault="00D61989" w:rsidP="00C41670">
      <w:pPr>
        <w:spacing w:after="0" w:line="276" w:lineRule="auto"/>
        <w:jc w:val="both"/>
        <w:rPr>
          <w:sz w:val="24"/>
          <w:szCs w:val="24"/>
        </w:rPr>
      </w:pPr>
      <w:r>
        <w:rPr>
          <w:sz w:val="24"/>
          <w:szCs w:val="24"/>
        </w:rPr>
        <w:t xml:space="preserve">Prima della pandemia </w:t>
      </w:r>
      <w:r w:rsidR="00AB155C">
        <w:rPr>
          <w:sz w:val="24"/>
          <w:szCs w:val="24"/>
        </w:rPr>
        <w:t>si era assistito a un lento ma costante processo di trasferimento di produzione della ricchezza dalle province di più piccola taglia</w:t>
      </w:r>
      <w:r w:rsidR="00AB155C">
        <w:rPr>
          <w:rStyle w:val="Rimandonotaapidipagina"/>
          <w:sz w:val="24"/>
          <w:szCs w:val="24"/>
        </w:rPr>
        <w:footnoteReference w:id="3"/>
      </w:r>
      <w:r w:rsidR="00ED68C8">
        <w:rPr>
          <w:sz w:val="24"/>
          <w:szCs w:val="24"/>
        </w:rPr>
        <w:t xml:space="preserve">verso le città metropolitane. E questo processo aveva toccato il suo apice proprio </w:t>
      </w:r>
      <w:r w:rsidR="00541AF0">
        <w:rPr>
          <w:sz w:val="24"/>
          <w:szCs w:val="24"/>
        </w:rPr>
        <w:t>nel 2020 allorquando quest’ultima assorbirono il 41,2% della ricchezza prodotta dal paese a fronte del 39,9%</w:t>
      </w:r>
      <w:r w:rsidR="007818E6">
        <w:rPr>
          <w:sz w:val="24"/>
          <w:szCs w:val="24"/>
        </w:rPr>
        <w:t xml:space="preserve"> </w:t>
      </w:r>
      <w:r w:rsidR="00541AF0">
        <w:rPr>
          <w:sz w:val="24"/>
          <w:szCs w:val="24"/>
        </w:rPr>
        <w:t>del 2000</w:t>
      </w:r>
      <w:r w:rsidR="007818E6">
        <w:rPr>
          <w:sz w:val="24"/>
          <w:szCs w:val="24"/>
        </w:rPr>
        <w:t xml:space="preserve"> mentre le province piccole che nel 2000 valevano il 7,7% del valore aggiunto nazionale sono progressivamente scese fino a rappresentare il 7,1% rimasto costante nell’ultimo triennio</w:t>
      </w:r>
      <w:r w:rsidR="00AB5DBC">
        <w:rPr>
          <w:sz w:val="24"/>
          <w:szCs w:val="24"/>
        </w:rPr>
        <w:t xml:space="preserve"> mentre quelle medio piccole sono scese dal 13,2 al 12,6%</w:t>
      </w:r>
      <w:r w:rsidR="007818E6">
        <w:rPr>
          <w:sz w:val="24"/>
          <w:szCs w:val="24"/>
        </w:rPr>
        <w:t xml:space="preserve">. </w:t>
      </w:r>
    </w:p>
    <w:p w14:paraId="376BA665" w14:textId="77777777" w:rsidR="00677A9D" w:rsidRDefault="00677A9D" w:rsidP="00DD091D">
      <w:pPr>
        <w:spacing w:after="0" w:line="240" w:lineRule="auto"/>
        <w:ind w:left="426" w:hanging="426"/>
        <w:rPr>
          <w:b/>
          <w:bCs/>
          <w:sz w:val="18"/>
          <w:szCs w:val="18"/>
        </w:rPr>
      </w:pPr>
    </w:p>
    <w:p w14:paraId="3274CD2C" w14:textId="07E548AD" w:rsidR="00DD091D" w:rsidRDefault="00DD091D" w:rsidP="00DD091D">
      <w:pPr>
        <w:spacing w:after="0" w:line="240" w:lineRule="auto"/>
        <w:ind w:left="426" w:hanging="426"/>
        <w:rPr>
          <w:b/>
          <w:bCs/>
          <w:sz w:val="18"/>
          <w:szCs w:val="18"/>
        </w:rPr>
      </w:pPr>
      <w:r>
        <w:rPr>
          <w:b/>
          <w:bCs/>
          <w:sz w:val="18"/>
          <w:szCs w:val="18"/>
        </w:rPr>
        <w:t>Fig.</w:t>
      </w:r>
      <w:r w:rsidR="007C3E36">
        <w:rPr>
          <w:b/>
          <w:bCs/>
          <w:sz w:val="18"/>
          <w:szCs w:val="18"/>
        </w:rPr>
        <w:t>13</w:t>
      </w:r>
      <w:r>
        <w:rPr>
          <w:b/>
          <w:bCs/>
          <w:sz w:val="18"/>
          <w:szCs w:val="18"/>
        </w:rPr>
        <w:t>-Quota percentuale di valore aggiunto ai prezzi base e correnti detenuto dalle province classificate in base alla consistenza della popolazione media residente dell’anno 2021</w:t>
      </w:r>
    </w:p>
    <w:p w14:paraId="45EFDA1D" w14:textId="5353B2C5" w:rsidR="00DD091D" w:rsidRDefault="000319B5" w:rsidP="005B1E56">
      <w:pPr>
        <w:spacing w:after="0" w:line="240" w:lineRule="auto"/>
        <w:jc w:val="center"/>
        <w:rPr>
          <w:b/>
          <w:bCs/>
          <w:sz w:val="18"/>
          <w:szCs w:val="18"/>
        </w:rPr>
      </w:pPr>
      <w:r>
        <w:rPr>
          <w:noProof/>
          <w:lang w:eastAsia="it-IT"/>
        </w:rPr>
        <w:drawing>
          <wp:inline distT="0" distB="0" distL="0" distR="0" wp14:anchorId="4CFE09C8" wp14:editId="333FD7C5">
            <wp:extent cx="5929630" cy="2490717"/>
            <wp:effectExtent l="0" t="0" r="13970" b="5080"/>
            <wp:docPr id="4" name="Grafico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FE6916-8D94-C06F-3313-A2E158CEE0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D8F6F2B" w14:textId="3AABC08E" w:rsidR="00DD091D" w:rsidRDefault="00DD091D" w:rsidP="00DD091D">
      <w:pPr>
        <w:spacing w:after="0" w:line="240" w:lineRule="auto"/>
        <w:ind w:left="567" w:hanging="567"/>
        <w:jc w:val="both"/>
        <w:rPr>
          <w:b/>
          <w:bCs/>
        </w:rPr>
      </w:pPr>
      <w:r w:rsidRPr="0020157D">
        <w:rPr>
          <w:b/>
          <w:bCs/>
          <w:sz w:val="18"/>
          <w:szCs w:val="18"/>
        </w:rPr>
        <w:t xml:space="preserve">Fonte: Elaborazione Centro Studi delle Camere di Commercio Guglielmo Tagliacarne </w:t>
      </w:r>
    </w:p>
    <w:p w14:paraId="254DA0E9" w14:textId="77777777" w:rsidR="00677A9D" w:rsidRDefault="00677A9D" w:rsidP="00DD091D">
      <w:pPr>
        <w:spacing w:after="0" w:line="276" w:lineRule="auto"/>
        <w:jc w:val="both"/>
        <w:rPr>
          <w:sz w:val="24"/>
          <w:szCs w:val="24"/>
        </w:rPr>
      </w:pPr>
    </w:p>
    <w:p w14:paraId="37650079" w14:textId="77777777" w:rsidR="002A0CEF" w:rsidRDefault="007818E6" w:rsidP="00DD091D">
      <w:pPr>
        <w:spacing w:after="0" w:line="276" w:lineRule="auto"/>
        <w:jc w:val="both"/>
        <w:rPr>
          <w:sz w:val="24"/>
          <w:szCs w:val="24"/>
        </w:rPr>
      </w:pPr>
      <w:r>
        <w:rPr>
          <w:sz w:val="24"/>
          <w:szCs w:val="24"/>
        </w:rPr>
        <w:t xml:space="preserve">Il 2021 ha segnato un </w:t>
      </w:r>
      <w:r w:rsidR="00AB5DBC">
        <w:rPr>
          <w:sz w:val="24"/>
          <w:szCs w:val="24"/>
        </w:rPr>
        <w:t xml:space="preserve">parziale cambiamento della rotta con un ridimensionamento delle città metropolitane di cui </w:t>
      </w:r>
      <w:r w:rsidR="00AC50CA">
        <w:rPr>
          <w:sz w:val="24"/>
          <w:szCs w:val="24"/>
        </w:rPr>
        <w:t xml:space="preserve">non </w:t>
      </w:r>
      <w:r w:rsidR="00AB5DBC">
        <w:rPr>
          <w:sz w:val="24"/>
          <w:szCs w:val="24"/>
        </w:rPr>
        <w:t xml:space="preserve">hanno </w:t>
      </w:r>
      <w:r w:rsidR="00AC50CA">
        <w:rPr>
          <w:sz w:val="24"/>
          <w:szCs w:val="24"/>
        </w:rPr>
        <w:t xml:space="preserve">però </w:t>
      </w:r>
      <w:r w:rsidR="00AB5DBC">
        <w:rPr>
          <w:sz w:val="24"/>
          <w:szCs w:val="24"/>
        </w:rPr>
        <w:t>beneficiato</w:t>
      </w:r>
      <w:r w:rsidR="00AC50CA">
        <w:rPr>
          <w:sz w:val="24"/>
          <w:szCs w:val="24"/>
        </w:rPr>
        <w:t xml:space="preserve"> i piccoli territori ma quelli di grande rilievo che non hanno connotazione metropolitane, ovvero quello che sono state definite come</w:t>
      </w:r>
      <w:r w:rsidR="00AB5DBC">
        <w:rPr>
          <w:sz w:val="24"/>
          <w:szCs w:val="24"/>
        </w:rPr>
        <w:t xml:space="preserve"> province grandi.</w:t>
      </w:r>
      <w:r w:rsidR="00AC50CA">
        <w:rPr>
          <w:sz w:val="24"/>
          <w:szCs w:val="24"/>
        </w:rPr>
        <w:t xml:space="preserve"> Queste ultime, infatti sono molto vicine a ritornare ai livelli di valore aggiunto precedenti alla pandemia distanziandosene solo per 6 decimi di punto grazie a un rimarchevole +7,0% messo a segno fra 2020 e 2021. </w:t>
      </w:r>
    </w:p>
    <w:p w14:paraId="04D7955B" w14:textId="682A3CA2" w:rsidR="00DE70E4" w:rsidRDefault="00A17C79" w:rsidP="00DD091D">
      <w:pPr>
        <w:spacing w:after="0" w:line="276" w:lineRule="auto"/>
        <w:jc w:val="both"/>
        <w:rPr>
          <w:sz w:val="24"/>
          <w:szCs w:val="24"/>
        </w:rPr>
      </w:pPr>
      <w:r>
        <w:rPr>
          <w:sz w:val="24"/>
          <w:szCs w:val="24"/>
        </w:rPr>
        <w:lastRenderedPageBreak/>
        <w:t>Una prestazione che supera di 1,4 punti percentuali quella messa a segno dalle città metropolitane</w:t>
      </w:r>
      <w:r w:rsidR="000A3D63">
        <w:rPr>
          <w:sz w:val="24"/>
          <w:szCs w:val="24"/>
        </w:rPr>
        <w:t xml:space="preserve"> (che chiudono il biennio con un saldo di -1,3%</w:t>
      </w:r>
      <w:r w:rsidR="00555174">
        <w:rPr>
          <w:sz w:val="24"/>
          <w:szCs w:val="24"/>
        </w:rPr>
        <w:t xml:space="preserve">) </w:t>
      </w:r>
      <w:r w:rsidR="001E37F0">
        <w:rPr>
          <w:sz w:val="24"/>
          <w:szCs w:val="24"/>
        </w:rPr>
        <w:t xml:space="preserve">le quali a loro volta fanno peggio (anzi decisamente peggio) di tutti gli altri target di provincia. </w:t>
      </w:r>
    </w:p>
    <w:p w14:paraId="71800E5E" w14:textId="77777777" w:rsidR="00DD091D" w:rsidRDefault="00DD091D" w:rsidP="00DD091D">
      <w:pPr>
        <w:spacing w:after="0" w:line="276" w:lineRule="auto"/>
        <w:jc w:val="both"/>
        <w:rPr>
          <w:b/>
          <w:bCs/>
          <w:sz w:val="18"/>
          <w:szCs w:val="18"/>
        </w:rPr>
      </w:pPr>
    </w:p>
    <w:p w14:paraId="29CCA494" w14:textId="7FEC7F59" w:rsidR="00663A2E" w:rsidRDefault="00663A2E" w:rsidP="00663A2E">
      <w:pPr>
        <w:spacing w:after="0" w:line="240" w:lineRule="auto"/>
        <w:ind w:left="567" w:hanging="567"/>
        <w:jc w:val="both"/>
        <w:rPr>
          <w:b/>
          <w:bCs/>
        </w:rPr>
      </w:pPr>
      <w:r w:rsidRPr="0020157D">
        <w:rPr>
          <w:b/>
          <w:bCs/>
          <w:sz w:val="18"/>
          <w:szCs w:val="18"/>
        </w:rPr>
        <w:t>F</w:t>
      </w:r>
      <w:r>
        <w:rPr>
          <w:b/>
          <w:bCs/>
          <w:sz w:val="18"/>
          <w:szCs w:val="18"/>
        </w:rPr>
        <w:t>ig.</w:t>
      </w:r>
      <w:r w:rsidR="007C3E36">
        <w:rPr>
          <w:b/>
          <w:bCs/>
          <w:sz w:val="18"/>
          <w:szCs w:val="18"/>
        </w:rPr>
        <w:t>14</w:t>
      </w:r>
      <w:r>
        <w:rPr>
          <w:b/>
          <w:bCs/>
          <w:sz w:val="18"/>
          <w:szCs w:val="18"/>
        </w:rPr>
        <w:t>-Variazione percentuale del valore aggiunto fra 2020 e 2021 e fra 2019 e 2021 per tipologia di provincia individuata in base alla dimensione demografica</w:t>
      </w:r>
    </w:p>
    <w:p w14:paraId="022A0859" w14:textId="03FA0A15" w:rsidR="005855F9" w:rsidRDefault="00663A2E" w:rsidP="0020157D">
      <w:pPr>
        <w:spacing w:after="0" w:line="240" w:lineRule="auto"/>
        <w:rPr>
          <w:b/>
          <w:bCs/>
          <w:sz w:val="18"/>
          <w:szCs w:val="18"/>
        </w:rPr>
      </w:pPr>
      <w:r>
        <w:rPr>
          <w:noProof/>
          <w:lang w:eastAsia="it-IT"/>
        </w:rPr>
        <w:drawing>
          <wp:inline distT="0" distB="0" distL="0" distR="0" wp14:anchorId="763F9643" wp14:editId="140A5AAF">
            <wp:extent cx="6210300" cy="2156347"/>
            <wp:effectExtent l="0" t="0" r="0" b="15875"/>
            <wp:docPr id="1" name="Grafico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507880-CEDC-1A4E-5A6D-CF699084CC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67506BB" w14:textId="77777777" w:rsidR="00663A2E" w:rsidRDefault="00663A2E" w:rsidP="00663A2E">
      <w:pPr>
        <w:spacing w:after="0" w:line="240" w:lineRule="auto"/>
        <w:ind w:left="567" w:hanging="567"/>
        <w:jc w:val="both"/>
        <w:rPr>
          <w:b/>
          <w:bCs/>
        </w:rPr>
      </w:pPr>
      <w:r w:rsidRPr="0020157D">
        <w:rPr>
          <w:b/>
          <w:bCs/>
          <w:sz w:val="18"/>
          <w:szCs w:val="18"/>
        </w:rPr>
        <w:t>Fonte: Elaborazione Centro Studi delle Camere di Commercio Guglielmo Tagliacarne su dati Unioncamere-Centro Studi delle Camere di Commercio Guglielmo Tagliacarne</w:t>
      </w:r>
      <w:r>
        <w:rPr>
          <w:b/>
          <w:bCs/>
          <w:sz w:val="18"/>
          <w:szCs w:val="18"/>
        </w:rPr>
        <w:t xml:space="preserve"> e Istat</w:t>
      </w:r>
    </w:p>
    <w:p w14:paraId="2A616BE5" w14:textId="2542A02A" w:rsidR="00663A2E" w:rsidRDefault="00663A2E" w:rsidP="0020157D">
      <w:pPr>
        <w:spacing w:after="0" w:line="240" w:lineRule="auto"/>
        <w:rPr>
          <w:b/>
          <w:bCs/>
          <w:sz w:val="18"/>
          <w:szCs w:val="18"/>
        </w:rPr>
      </w:pPr>
    </w:p>
    <w:p w14:paraId="661C625A" w14:textId="77777777" w:rsidR="00D52435" w:rsidRDefault="00DD091D" w:rsidP="00DD091D">
      <w:pPr>
        <w:spacing w:after="0" w:line="276" w:lineRule="auto"/>
        <w:jc w:val="both"/>
        <w:rPr>
          <w:sz w:val="24"/>
          <w:szCs w:val="24"/>
        </w:rPr>
      </w:pPr>
      <w:r>
        <w:rPr>
          <w:sz w:val="24"/>
          <w:szCs w:val="24"/>
        </w:rPr>
        <w:t>Altro elemen</w:t>
      </w:r>
      <w:r w:rsidR="005962FC">
        <w:rPr>
          <w:sz w:val="24"/>
          <w:szCs w:val="24"/>
        </w:rPr>
        <w:t>to che discrimina fortemente gli andamenti economici dei territori italiani è la presenza dell’elemento marino. Se si prende l’insieme delle province italiane che hann</w:t>
      </w:r>
      <w:r w:rsidR="0065355F">
        <w:rPr>
          <w:sz w:val="24"/>
          <w:szCs w:val="24"/>
        </w:rPr>
        <w:t xml:space="preserve">o un rapporto totale superficie dei comuni litoranei della provincia su totale superficie provinciale </w:t>
      </w:r>
      <w:r w:rsidR="00DA3963">
        <w:rPr>
          <w:sz w:val="24"/>
          <w:szCs w:val="24"/>
        </w:rPr>
        <w:t xml:space="preserve">superiore a quello medio nazionale </w:t>
      </w:r>
      <w:r w:rsidR="0065355F">
        <w:rPr>
          <w:sz w:val="24"/>
          <w:szCs w:val="24"/>
        </w:rPr>
        <w:t xml:space="preserve">(e che verranno chiamate province marine) si evidenzia come queste aree che già nel 2020 avevano fatto meglio delle zone </w:t>
      </w:r>
      <w:r w:rsidR="008C7833">
        <w:rPr>
          <w:sz w:val="24"/>
          <w:szCs w:val="24"/>
        </w:rPr>
        <w:t xml:space="preserve">non </w:t>
      </w:r>
      <w:r w:rsidR="0065355F">
        <w:rPr>
          <w:sz w:val="24"/>
          <w:szCs w:val="24"/>
        </w:rPr>
        <w:t xml:space="preserve">marine </w:t>
      </w:r>
      <w:r w:rsidR="008C7833">
        <w:rPr>
          <w:sz w:val="24"/>
          <w:szCs w:val="24"/>
        </w:rPr>
        <w:t>(-6,1% contro -7,</w:t>
      </w:r>
      <w:r w:rsidR="00DA3963">
        <w:rPr>
          <w:sz w:val="24"/>
          <w:szCs w:val="24"/>
        </w:rPr>
        <w:t>3</w:t>
      </w:r>
      <w:r w:rsidR="008C7833">
        <w:rPr>
          <w:sz w:val="24"/>
          <w:szCs w:val="24"/>
        </w:rPr>
        <w:t>%) abbiano mantenuto questa posizione di vantaggio anche in ottica biennale (-0,</w:t>
      </w:r>
      <w:r w:rsidR="00DA3963">
        <w:rPr>
          <w:sz w:val="24"/>
          <w:szCs w:val="24"/>
        </w:rPr>
        <w:t>7</w:t>
      </w:r>
      <w:r w:rsidR="008C7833">
        <w:rPr>
          <w:sz w:val="24"/>
          <w:szCs w:val="24"/>
        </w:rPr>
        <w:t>% contro -1,</w:t>
      </w:r>
      <w:r w:rsidR="00DA3963">
        <w:rPr>
          <w:sz w:val="24"/>
          <w:szCs w:val="24"/>
        </w:rPr>
        <w:t>4</w:t>
      </w:r>
      <w:r w:rsidR="008C7833">
        <w:rPr>
          <w:sz w:val="24"/>
          <w:szCs w:val="24"/>
        </w:rPr>
        <w:t>%)</w:t>
      </w:r>
      <w:r w:rsidR="00DA3963">
        <w:rPr>
          <w:sz w:val="24"/>
          <w:szCs w:val="24"/>
        </w:rPr>
        <w:t xml:space="preserve"> nonostante un 2021 che ha arriso maggiormente alle aree non marine (cresciute del 6,3% a fronte del 5,8% di quelle marine)</w:t>
      </w:r>
      <w:r w:rsidR="008C7833">
        <w:rPr>
          <w:sz w:val="24"/>
          <w:szCs w:val="24"/>
        </w:rPr>
        <w:t>.</w:t>
      </w:r>
    </w:p>
    <w:p w14:paraId="576EAD2D" w14:textId="5C5A2EC5" w:rsidR="00C41670" w:rsidRDefault="008C7833" w:rsidP="00DD091D">
      <w:pPr>
        <w:spacing w:after="0" w:line="276" w:lineRule="auto"/>
        <w:jc w:val="both"/>
        <w:rPr>
          <w:sz w:val="24"/>
          <w:szCs w:val="24"/>
        </w:rPr>
      </w:pPr>
      <w:r>
        <w:rPr>
          <w:sz w:val="24"/>
          <w:szCs w:val="24"/>
        </w:rPr>
        <w:t xml:space="preserve">Ma anche caratteristiche di </w:t>
      </w:r>
      <w:r w:rsidR="00DA3963">
        <w:rPr>
          <w:sz w:val="24"/>
          <w:szCs w:val="24"/>
        </w:rPr>
        <w:t xml:space="preserve">stampo più prettamente economico </w:t>
      </w:r>
      <w:r>
        <w:rPr>
          <w:sz w:val="24"/>
          <w:szCs w:val="24"/>
        </w:rPr>
        <w:t xml:space="preserve">consentono di ottenere interessanti elementi di discriminazione. </w:t>
      </w:r>
      <w:r w:rsidR="0030594F">
        <w:rPr>
          <w:sz w:val="24"/>
          <w:szCs w:val="24"/>
        </w:rPr>
        <w:t>È</w:t>
      </w:r>
      <w:r>
        <w:rPr>
          <w:sz w:val="24"/>
          <w:szCs w:val="24"/>
        </w:rPr>
        <w:t xml:space="preserve"> il </w:t>
      </w:r>
      <w:r w:rsidR="0030594F">
        <w:rPr>
          <w:sz w:val="24"/>
          <w:szCs w:val="24"/>
        </w:rPr>
        <w:t>caso, ad esempio,</w:t>
      </w:r>
      <w:r>
        <w:rPr>
          <w:sz w:val="24"/>
          <w:szCs w:val="24"/>
        </w:rPr>
        <w:t xml:space="preserve"> della dimensione media delle unità locali (calcolata attraverso il </w:t>
      </w:r>
      <w:r w:rsidR="00DA3963">
        <w:rPr>
          <w:sz w:val="24"/>
          <w:szCs w:val="24"/>
        </w:rPr>
        <w:t xml:space="preserve">rapporto fra il </w:t>
      </w:r>
      <w:r>
        <w:rPr>
          <w:sz w:val="24"/>
          <w:szCs w:val="24"/>
        </w:rPr>
        <w:t xml:space="preserve">numero di addetti alle unità locali </w:t>
      </w:r>
      <w:r w:rsidR="00DA3963">
        <w:rPr>
          <w:sz w:val="24"/>
          <w:szCs w:val="24"/>
        </w:rPr>
        <w:t xml:space="preserve">r numero di unità locali ottenuto dal Registro Statistico delle Unità Locali). </w:t>
      </w:r>
      <w:r w:rsidR="007528BB">
        <w:rPr>
          <w:sz w:val="24"/>
          <w:szCs w:val="24"/>
        </w:rPr>
        <w:t xml:space="preserve">Questa variabile evidenzia come il complesso delle province che hanno una dimensione media superiore a quella nazionale sono quelle che nell’immediato subiscono le conseguenze più gravi di una recessione ma che possiedono anche le armi per recuperare più rapidamente una volta archiviata la fase più acuta del periodo recessivo. </w:t>
      </w:r>
    </w:p>
    <w:p w14:paraId="48473146" w14:textId="77777777" w:rsidR="00C41670" w:rsidRDefault="00C41670" w:rsidP="00DD091D">
      <w:pPr>
        <w:spacing w:after="0" w:line="276" w:lineRule="auto"/>
        <w:jc w:val="both"/>
        <w:rPr>
          <w:sz w:val="24"/>
          <w:szCs w:val="24"/>
        </w:rPr>
      </w:pPr>
    </w:p>
    <w:p w14:paraId="24D53EE9" w14:textId="77777777" w:rsidR="00C41670" w:rsidRDefault="00C41670" w:rsidP="00C41670">
      <w:pPr>
        <w:spacing w:after="0" w:line="240" w:lineRule="auto"/>
        <w:ind w:left="426" w:hanging="426"/>
        <w:jc w:val="both"/>
        <w:rPr>
          <w:b/>
          <w:bCs/>
        </w:rPr>
      </w:pPr>
      <w:r w:rsidRPr="0020157D">
        <w:rPr>
          <w:b/>
          <w:bCs/>
          <w:sz w:val="18"/>
          <w:szCs w:val="18"/>
        </w:rPr>
        <w:t>F</w:t>
      </w:r>
      <w:r>
        <w:rPr>
          <w:b/>
          <w:bCs/>
          <w:sz w:val="18"/>
          <w:szCs w:val="18"/>
        </w:rPr>
        <w:t>ig.15-Variazione percentuale del valore aggiunto nei periodi 2019/2020, 2020/2021 e 2019/2021 per tipologia di provincia marina</w:t>
      </w:r>
    </w:p>
    <w:p w14:paraId="23DB2C84" w14:textId="77777777" w:rsidR="00C41670" w:rsidRDefault="00C41670" w:rsidP="00C41670">
      <w:pPr>
        <w:spacing w:after="0" w:line="240" w:lineRule="auto"/>
        <w:ind w:left="567" w:hanging="567"/>
        <w:jc w:val="both"/>
        <w:rPr>
          <w:b/>
          <w:bCs/>
          <w:sz w:val="18"/>
          <w:szCs w:val="18"/>
        </w:rPr>
      </w:pPr>
      <w:r>
        <w:rPr>
          <w:noProof/>
          <w:lang w:eastAsia="it-IT"/>
        </w:rPr>
        <w:lastRenderedPageBreak/>
        <w:drawing>
          <wp:inline distT="0" distB="0" distL="0" distR="0" wp14:anchorId="137E1FF9" wp14:editId="689D3EEA">
            <wp:extent cx="6120130" cy="1808328"/>
            <wp:effectExtent l="0" t="0" r="13970" b="1905"/>
            <wp:docPr id="7" name="Grafico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55E0A52-0224-C964-8711-FC0E70E940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A477C73" w14:textId="77777777" w:rsidR="00C41670" w:rsidRDefault="00C41670" w:rsidP="00C41670">
      <w:pPr>
        <w:spacing w:after="0" w:line="240" w:lineRule="auto"/>
        <w:ind w:left="567" w:hanging="567"/>
        <w:jc w:val="both"/>
        <w:rPr>
          <w:b/>
          <w:bCs/>
        </w:rPr>
      </w:pPr>
      <w:r w:rsidRPr="0020157D">
        <w:rPr>
          <w:b/>
          <w:bCs/>
          <w:sz w:val="18"/>
          <w:szCs w:val="18"/>
        </w:rPr>
        <w:t xml:space="preserve">Fonte: Elaborazione Centro Studi delle Camere di Commercio Guglielmo Tagliacarne </w:t>
      </w:r>
    </w:p>
    <w:p w14:paraId="58B42681" w14:textId="73837E55" w:rsidR="00DD091D" w:rsidRDefault="007528BB" w:rsidP="00DD091D">
      <w:pPr>
        <w:spacing w:after="0" w:line="276" w:lineRule="auto"/>
        <w:jc w:val="both"/>
        <w:rPr>
          <w:sz w:val="24"/>
          <w:szCs w:val="24"/>
        </w:rPr>
      </w:pPr>
      <w:r>
        <w:rPr>
          <w:sz w:val="24"/>
          <w:szCs w:val="24"/>
        </w:rPr>
        <w:t xml:space="preserve">Questo </w:t>
      </w:r>
      <w:r w:rsidR="00622119">
        <w:rPr>
          <w:sz w:val="24"/>
          <w:szCs w:val="24"/>
        </w:rPr>
        <w:t>almeno è quello che si osserva nei due momenti di crisi più acuta degli ultimi anni. Nel 2009 le province con una dimensione media di unità locale superiore alla media nazionale per</w:t>
      </w:r>
      <w:r w:rsidR="00BE598A">
        <w:rPr>
          <w:sz w:val="24"/>
          <w:szCs w:val="24"/>
        </w:rPr>
        <w:t xml:space="preserve">sero </w:t>
      </w:r>
      <w:r w:rsidR="00622119">
        <w:rPr>
          <w:sz w:val="24"/>
          <w:szCs w:val="24"/>
        </w:rPr>
        <w:t>il 4,3% rispetto all’anno precedente a fronte di una media nazionale salvo poi crescere del 2,9% nell’anno successivo a fronte di un incremento complessivo dell’1,7%. Stessa cosa è accaduta in quest’ultimo periodo. Le province caratterizzate da</w:t>
      </w:r>
      <w:r w:rsidR="000319B5">
        <w:rPr>
          <w:sz w:val="24"/>
          <w:szCs w:val="24"/>
        </w:rPr>
        <w:t xml:space="preserve"> </w:t>
      </w:r>
      <w:r w:rsidR="00622119">
        <w:rPr>
          <w:sz w:val="24"/>
          <w:szCs w:val="24"/>
        </w:rPr>
        <w:t xml:space="preserve">insediamenti produttivi </w:t>
      </w:r>
      <w:r w:rsidR="000319B5">
        <w:rPr>
          <w:sz w:val="24"/>
          <w:szCs w:val="24"/>
        </w:rPr>
        <w:t>di più grande dimensione sono crollate nel 2020 del 7,6% (a fronte di una media nazionale del 6,9%) salvo poi recuperare 6.5 punti percentuali nel 2021 a fronte di un incremento complessivo del 6,1%.</w:t>
      </w:r>
    </w:p>
    <w:p w14:paraId="1DFB2D9F" w14:textId="4811F0DF" w:rsidR="00846ACD" w:rsidRDefault="00846ACD" w:rsidP="00DD091D">
      <w:pPr>
        <w:spacing w:after="0" w:line="276" w:lineRule="auto"/>
        <w:jc w:val="both"/>
        <w:rPr>
          <w:sz w:val="24"/>
          <w:szCs w:val="24"/>
        </w:rPr>
      </w:pPr>
    </w:p>
    <w:p w14:paraId="7352791E" w14:textId="750C1C27" w:rsidR="00846ACD" w:rsidRDefault="00846ACD" w:rsidP="00DD091D">
      <w:pPr>
        <w:spacing w:after="0" w:line="276" w:lineRule="auto"/>
        <w:jc w:val="both"/>
        <w:rPr>
          <w:sz w:val="24"/>
          <w:szCs w:val="24"/>
        </w:rPr>
      </w:pPr>
    </w:p>
    <w:p w14:paraId="6CA10724" w14:textId="77777777" w:rsidR="00846ACD" w:rsidRDefault="00846ACD" w:rsidP="00DD091D">
      <w:pPr>
        <w:spacing w:after="0" w:line="276" w:lineRule="auto"/>
        <w:jc w:val="both"/>
        <w:rPr>
          <w:sz w:val="24"/>
          <w:szCs w:val="24"/>
        </w:rPr>
      </w:pPr>
    </w:p>
    <w:p w14:paraId="402AD1E2" w14:textId="45C28F49" w:rsidR="00846ACD" w:rsidRDefault="00846ACD" w:rsidP="00DD091D">
      <w:pPr>
        <w:spacing w:after="0" w:line="276" w:lineRule="auto"/>
        <w:jc w:val="both"/>
        <w:rPr>
          <w:sz w:val="24"/>
          <w:szCs w:val="24"/>
        </w:rPr>
      </w:pPr>
    </w:p>
    <w:p w14:paraId="53FFC899" w14:textId="16BF70B3" w:rsidR="00846ACD" w:rsidRDefault="00846ACD" w:rsidP="00DD091D">
      <w:pPr>
        <w:spacing w:after="0" w:line="276" w:lineRule="auto"/>
        <w:jc w:val="both"/>
        <w:rPr>
          <w:sz w:val="24"/>
          <w:szCs w:val="24"/>
        </w:rPr>
      </w:pPr>
    </w:p>
    <w:p w14:paraId="495331B5" w14:textId="77777777" w:rsidR="00846ACD" w:rsidRDefault="00846ACD" w:rsidP="00DD091D">
      <w:pPr>
        <w:spacing w:after="0" w:line="276" w:lineRule="auto"/>
        <w:jc w:val="both"/>
        <w:rPr>
          <w:sz w:val="24"/>
          <w:szCs w:val="24"/>
        </w:rPr>
      </w:pPr>
    </w:p>
    <w:p w14:paraId="0C367D6B" w14:textId="77777777" w:rsidR="00BE598A" w:rsidRDefault="00BE598A" w:rsidP="00425C27">
      <w:pPr>
        <w:spacing w:after="0" w:line="240" w:lineRule="auto"/>
        <w:jc w:val="both"/>
        <w:rPr>
          <w:b/>
          <w:bCs/>
          <w:sz w:val="18"/>
          <w:szCs w:val="18"/>
        </w:rPr>
      </w:pPr>
    </w:p>
    <w:p w14:paraId="4BCBA148" w14:textId="77777777" w:rsidR="00BE598A" w:rsidRDefault="00BE598A" w:rsidP="00D650F0">
      <w:pPr>
        <w:spacing w:after="0" w:line="240" w:lineRule="auto"/>
        <w:ind w:left="426" w:hanging="426"/>
        <w:jc w:val="both"/>
        <w:rPr>
          <w:b/>
          <w:bCs/>
          <w:sz w:val="18"/>
          <w:szCs w:val="18"/>
        </w:rPr>
      </w:pPr>
    </w:p>
    <w:p w14:paraId="080734EB" w14:textId="1785BDB1" w:rsidR="00A118FF" w:rsidRDefault="00A118FF" w:rsidP="0020157D">
      <w:pPr>
        <w:spacing w:after="0" w:line="240" w:lineRule="auto"/>
        <w:rPr>
          <w:b/>
          <w:bCs/>
          <w:sz w:val="18"/>
          <w:szCs w:val="18"/>
        </w:rPr>
      </w:pPr>
    </w:p>
    <w:p w14:paraId="00CAEA20" w14:textId="0384714B" w:rsidR="00A118FF" w:rsidRDefault="00A118FF" w:rsidP="0020157D">
      <w:pPr>
        <w:spacing w:after="0" w:line="240" w:lineRule="auto"/>
        <w:rPr>
          <w:b/>
          <w:bCs/>
          <w:sz w:val="18"/>
          <w:szCs w:val="18"/>
        </w:rPr>
      </w:pPr>
    </w:p>
    <w:p w14:paraId="66B4EF28" w14:textId="394ADB10" w:rsidR="00C10429" w:rsidRDefault="00C10429">
      <w:pPr>
        <w:rPr>
          <w:b/>
          <w:bCs/>
          <w:sz w:val="18"/>
          <w:szCs w:val="18"/>
        </w:rPr>
      </w:pPr>
      <w:r>
        <w:rPr>
          <w:b/>
          <w:bCs/>
          <w:sz w:val="18"/>
          <w:szCs w:val="18"/>
        </w:rPr>
        <w:br w:type="page"/>
      </w:r>
    </w:p>
    <w:p w14:paraId="555F66C8" w14:textId="6783E523" w:rsidR="00C10429" w:rsidRPr="007B64AB" w:rsidRDefault="00C10429" w:rsidP="007B64AB">
      <w:pPr>
        <w:pStyle w:val="Titolo1"/>
        <w:numPr>
          <w:ilvl w:val="0"/>
          <w:numId w:val="4"/>
        </w:numPr>
        <w:spacing w:before="200" w:after="200" w:line="240" w:lineRule="auto"/>
        <w:ind w:left="714" w:hanging="357"/>
        <w:rPr>
          <w:rFonts w:asciiTheme="minorHAnsi" w:hAnsiTheme="minorHAnsi" w:cstheme="minorHAnsi"/>
          <w:b/>
          <w:bCs/>
          <w:color w:val="auto"/>
          <w:sz w:val="28"/>
          <w:szCs w:val="28"/>
        </w:rPr>
      </w:pPr>
      <w:bookmarkStart w:id="12" w:name="_Toc113528120"/>
      <w:r w:rsidRPr="007B64AB">
        <w:rPr>
          <w:rFonts w:asciiTheme="minorHAnsi" w:hAnsiTheme="minorHAnsi" w:cstheme="minorHAnsi"/>
          <w:b/>
          <w:bCs/>
          <w:color w:val="auto"/>
          <w:sz w:val="28"/>
          <w:szCs w:val="28"/>
        </w:rPr>
        <w:lastRenderedPageBreak/>
        <w:t>I</w:t>
      </w:r>
      <w:r w:rsidR="007B64AB">
        <w:rPr>
          <w:rFonts w:asciiTheme="minorHAnsi" w:hAnsiTheme="minorHAnsi" w:cstheme="minorHAnsi"/>
          <w:b/>
          <w:bCs/>
          <w:color w:val="auto"/>
          <w:sz w:val="28"/>
          <w:szCs w:val="28"/>
        </w:rPr>
        <w:t>l valore aggiunto</w:t>
      </w:r>
      <w:r w:rsidR="00622DB9">
        <w:rPr>
          <w:rFonts w:asciiTheme="minorHAnsi" w:hAnsiTheme="minorHAnsi" w:cstheme="minorHAnsi"/>
          <w:b/>
          <w:bCs/>
          <w:color w:val="auto"/>
          <w:sz w:val="28"/>
          <w:szCs w:val="28"/>
        </w:rPr>
        <w:t xml:space="preserve"> procapite prima e dopo il Covid-19</w:t>
      </w:r>
      <w:bookmarkEnd w:id="12"/>
    </w:p>
    <w:p w14:paraId="1170BE98" w14:textId="2D741214" w:rsidR="00600745" w:rsidRDefault="00846ACD" w:rsidP="00622DB9">
      <w:pPr>
        <w:spacing w:after="0"/>
        <w:jc w:val="both"/>
        <w:rPr>
          <w:sz w:val="24"/>
          <w:szCs w:val="24"/>
        </w:rPr>
      </w:pPr>
      <w:r w:rsidRPr="00846ACD">
        <w:rPr>
          <w:sz w:val="24"/>
          <w:szCs w:val="24"/>
        </w:rPr>
        <w:t>Passando dalla lettura d</w:t>
      </w:r>
      <w:r>
        <w:rPr>
          <w:sz w:val="24"/>
          <w:szCs w:val="24"/>
        </w:rPr>
        <w:t>agli andamenti</w:t>
      </w:r>
      <w:r w:rsidRPr="00846ACD">
        <w:rPr>
          <w:sz w:val="24"/>
          <w:szCs w:val="24"/>
        </w:rPr>
        <w:t xml:space="preserve"> in valori assoluti a quell</w:t>
      </w:r>
      <w:r>
        <w:rPr>
          <w:sz w:val="24"/>
          <w:szCs w:val="24"/>
        </w:rPr>
        <w:t>i</w:t>
      </w:r>
      <w:r w:rsidRPr="00846ACD">
        <w:rPr>
          <w:sz w:val="24"/>
          <w:szCs w:val="24"/>
        </w:rPr>
        <w:t xml:space="preserve"> rapportat</w:t>
      </w:r>
      <w:r>
        <w:rPr>
          <w:sz w:val="24"/>
          <w:szCs w:val="24"/>
        </w:rPr>
        <w:t>i</w:t>
      </w:r>
      <w:r w:rsidRPr="00846ACD">
        <w:rPr>
          <w:sz w:val="24"/>
          <w:szCs w:val="24"/>
        </w:rPr>
        <w:t xml:space="preserve"> alla popolazione residente totale media dei vari anni presi come riferimento</w:t>
      </w:r>
      <w:r>
        <w:rPr>
          <w:sz w:val="24"/>
          <w:szCs w:val="24"/>
        </w:rPr>
        <w:t xml:space="preserve"> (ovvero il valore aggiunto procapite) emerge un quadro di sostanziale stabilità </w:t>
      </w:r>
      <w:r w:rsidR="00581016">
        <w:rPr>
          <w:sz w:val="24"/>
          <w:szCs w:val="24"/>
        </w:rPr>
        <w:t xml:space="preserve">rispetto alla situazione pre e post pandemica pur non mancando alcune situazioni degne di menzione. A livello macro si osserva come per 86 province su 107 la variazione delle posizioni fra 2019 e 2021 è al massimo di due ranghi (per la precisione 28 province hanno mantenuto inalterato il loro piazzamento, 34 lo hanno modificato di una posizione e 24 di due posizioni) mentre per quanto riguarda le altre 21 gli spostamenti più significativi hanno riguardato in senso positivo </w:t>
      </w:r>
      <w:r w:rsidR="00E54B4A">
        <w:rPr>
          <w:sz w:val="24"/>
          <w:szCs w:val="24"/>
        </w:rPr>
        <w:t>Terni che è passata dalla 70 esima piazza del 2019 alla 62 esima del 2021 raggiungendo il miglior piazzamento dal 2011 a oggi. Notevole è stato anche il salto di qualità operato dalla provincia de La Spezia arrivata nel 2021 in 32esima posizione (+ 6 posti guadagnati rispetto al 2019) che è uno dei piazzamenti migliori mai conseguiti dalla provincia dal 2002 ad oggi preceduto solo dal 31esimo rango. La provincia che maggiormente ha realizzato il “passo del gambero” più significativo è quella di Prato che perdendo 10 posti ha chiuso il 2021 in 34esima piazza ritornando quindi sulle posizioni del 2015</w:t>
      </w:r>
      <w:r w:rsidR="006F01FB">
        <w:rPr>
          <w:sz w:val="24"/>
          <w:szCs w:val="24"/>
        </w:rPr>
        <w:t xml:space="preserve"> che regalarono il peggior risultato dal 2002</w:t>
      </w:r>
      <w:r w:rsidR="001B16F7">
        <w:rPr>
          <w:sz w:val="24"/>
          <w:szCs w:val="24"/>
        </w:rPr>
        <w:t xml:space="preserve">. Ma oltre a questi fenomeni più macroscopici ve ne sono altri di decisamente minore entità ma comunque molto significativi. Intanto l’evoluzione del podio. Fermo restando che i primi due posti sono oramai cristallizzati dal 2009 con Milano nettamente al primo posto e oramai prossima a superare nuovamente la soglia dei 50.000 euro procapite seguita da Bolzano/Bozen (con una stagione covid che ha portato all’accentuazione di questo divario) la grande novità è costituita dall’ultimo gradino del podio. </w:t>
      </w:r>
      <w:r w:rsidR="00CA20D9">
        <w:rPr>
          <w:sz w:val="24"/>
          <w:szCs w:val="24"/>
        </w:rPr>
        <w:t xml:space="preserve">Dopo tre anni si registra, infatti, il ritorno di Bologna che ha scavalcato </w:t>
      </w:r>
      <w:r w:rsidR="0030594F">
        <w:rPr>
          <w:sz w:val="24"/>
          <w:szCs w:val="24"/>
        </w:rPr>
        <w:t>Firenze,</w:t>
      </w:r>
      <w:r w:rsidR="00CA20D9">
        <w:rPr>
          <w:sz w:val="24"/>
          <w:szCs w:val="24"/>
        </w:rPr>
        <w:t xml:space="preserve"> la quale ha pagato la perdurante crisi del turismo (o quanto meno le difficoltà a ritornare sui livelli turistici pre pandemici). Nell’ambito delle province a più elevato valore aggiunto procapite chi ha pagato maggiormente dazio alla pandemia in termini di posizionamento relativo è stata senza dubbio la provincia autonoma di Trento che però di fatto </w:t>
      </w:r>
      <w:r w:rsidR="0031397C">
        <w:rPr>
          <w:sz w:val="24"/>
          <w:szCs w:val="24"/>
        </w:rPr>
        <w:t xml:space="preserve">è tornata sui suoi piazzamenti consueti visto che il quinto posto del 2019 era da considerarsi il miglior piazzamento dal 2002. Le buone performance dell’industria genovese hanno consentito alla città metropolitana ligure di entrare nella top ten delle province italiane, cosa che non accadeva dal 2014 soffiando il posto a Reggio nell’Emilia che prosegue nel suo oscillare fra decima e undicesima posizione che lo caratterizza dall’oramai lontano 2009. Nelle posizioni di coda si registra qualche </w:t>
      </w:r>
      <w:r w:rsidR="000232E2">
        <w:rPr>
          <w:sz w:val="24"/>
          <w:szCs w:val="24"/>
        </w:rPr>
        <w:t>movimento in più. In ultima posizione continua l’alternanza fra la provincia di Agrigento e quella del Sud Sardegna (sporadicamente interrotta dall’inserimento di altre realtà come Caltanissetta e Barletta-Andria-Trani) e nel 2021 la palma di provincia con il valore aggiunto procapite più basso è toccata alla realtà siciliana</w:t>
      </w:r>
      <w:r w:rsidR="00BD4CAE">
        <w:rPr>
          <w:sz w:val="24"/>
          <w:szCs w:val="24"/>
        </w:rPr>
        <w:t xml:space="preserve"> nonostante per la prima volta nella storia la provincia abbia superato i 14.500 euro di valore aggiunto procapite. Il Covid ha decisamente accentuato il posizionamento della provincia di Cosenza che continua inesorabilmente la discesa nella classifica delle province secondo questo indicatore occupando negli ultimi due anni stabilmente la posizione numero 106, peggiore risultato dal 2002 da parte della provincia silana. </w:t>
      </w:r>
      <w:r w:rsidR="00E533C6">
        <w:rPr>
          <w:sz w:val="24"/>
          <w:szCs w:val="24"/>
        </w:rPr>
        <w:t>Di converso vanno sottolineati i progressi conseguiti da Benevento. La provincia sannitica nel 2021</w:t>
      </w:r>
      <w:r w:rsidR="00337A2A">
        <w:rPr>
          <w:sz w:val="24"/>
          <w:szCs w:val="24"/>
        </w:rPr>
        <w:t xml:space="preserve"> ha approfittato (se così si può dire) del Covid per recuperare ben tre posizioni rispetto al 2019 e che sono state sufficienti per uscire dal novero delle 10 province più povere del paese in termini di valore aggiunto procapite. A prendere il posto di Benevento all’interno di questo insieme di territori è stata Lecce che comunque pur in un contesto di recente peggioramento riesce ancora a non scendere sotto la posizione numero 99, </w:t>
      </w:r>
      <w:r w:rsidR="00337A2A">
        <w:rPr>
          <w:sz w:val="24"/>
          <w:szCs w:val="24"/>
        </w:rPr>
        <w:lastRenderedPageBreak/>
        <w:t xml:space="preserve">cosa che oramai accade dal 2014. L’anno di uscita dalla pandemia </w:t>
      </w:r>
      <w:r w:rsidR="00AD2D1A">
        <w:rPr>
          <w:sz w:val="24"/>
          <w:szCs w:val="24"/>
        </w:rPr>
        <w:t xml:space="preserve">non </w:t>
      </w:r>
      <w:r w:rsidR="00337A2A">
        <w:rPr>
          <w:sz w:val="24"/>
          <w:szCs w:val="24"/>
        </w:rPr>
        <w:t>ha consentito ad alcun</w:t>
      </w:r>
      <w:r w:rsidR="00AD2D1A">
        <w:rPr>
          <w:sz w:val="24"/>
          <w:szCs w:val="24"/>
        </w:rPr>
        <w:t>a</w:t>
      </w:r>
      <w:r w:rsidR="00337A2A">
        <w:rPr>
          <w:sz w:val="24"/>
          <w:szCs w:val="24"/>
        </w:rPr>
        <w:t xml:space="preserve"> provinc</w:t>
      </w:r>
      <w:r w:rsidR="00AD2D1A">
        <w:rPr>
          <w:sz w:val="24"/>
          <w:szCs w:val="24"/>
        </w:rPr>
        <w:t>ia</w:t>
      </w:r>
      <w:r w:rsidR="00337A2A">
        <w:rPr>
          <w:sz w:val="24"/>
          <w:szCs w:val="24"/>
        </w:rPr>
        <w:t xml:space="preserve"> </w:t>
      </w:r>
      <w:r w:rsidR="00AD2D1A">
        <w:rPr>
          <w:sz w:val="24"/>
          <w:szCs w:val="24"/>
        </w:rPr>
        <w:t xml:space="preserve">di conseguire per la prima volta il miglior piazzamento di classifica dal 2002 a oggi. </w:t>
      </w:r>
    </w:p>
    <w:p w14:paraId="2C8B9235" w14:textId="7C58854D" w:rsidR="00600745" w:rsidRPr="00600745" w:rsidRDefault="00600745" w:rsidP="00600745">
      <w:pPr>
        <w:spacing w:before="200" w:after="0" w:line="240" w:lineRule="auto"/>
        <w:jc w:val="both"/>
        <w:rPr>
          <w:b/>
          <w:bCs/>
          <w:sz w:val="20"/>
          <w:szCs w:val="20"/>
        </w:rPr>
      </w:pPr>
      <w:r w:rsidRPr="00600745">
        <w:rPr>
          <w:b/>
          <w:bCs/>
          <w:sz w:val="20"/>
          <w:szCs w:val="20"/>
        </w:rPr>
        <w:t>Tab.3- Graduatoria delle province italiane in base al valore aggiunto a prezzi base e correnti procapite. Anno 2021</w:t>
      </w:r>
    </w:p>
    <w:tbl>
      <w:tblPr>
        <w:tblW w:w="9641" w:type="dxa"/>
        <w:tblCellMar>
          <w:left w:w="70" w:type="dxa"/>
          <w:right w:w="70" w:type="dxa"/>
        </w:tblCellMar>
        <w:tblLook w:val="04A0" w:firstRow="1" w:lastRow="0" w:firstColumn="1" w:lastColumn="0" w:noHBand="0" w:noVBand="1"/>
      </w:tblPr>
      <w:tblGrid>
        <w:gridCol w:w="500"/>
        <w:gridCol w:w="2324"/>
        <w:gridCol w:w="1000"/>
        <w:gridCol w:w="1080"/>
        <w:gridCol w:w="443"/>
        <w:gridCol w:w="2154"/>
        <w:gridCol w:w="1000"/>
        <w:gridCol w:w="1140"/>
      </w:tblGrid>
      <w:tr w:rsidR="00600745" w:rsidRPr="00600745" w14:paraId="698B7F1C" w14:textId="77777777" w:rsidTr="00600745">
        <w:trPr>
          <w:trHeight w:val="20"/>
        </w:trPr>
        <w:tc>
          <w:tcPr>
            <w:tcW w:w="500" w:type="dxa"/>
            <w:tcBorders>
              <w:top w:val="single" w:sz="8" w:space="0" w:color="auto"/>
              <w:left w:val="single" w:sz="8" w:space="0" w:color="auto"/>
              <w:bottom w:val="single" w:sz="8" w:space="0" w:color="auto"/>
              <w:right w:val="nil"/>
            </w:tcBorders>
            <w:shd w:val="clear" w:color="auto" w:fill="auto"/>
            <w:vAlign w:val="center"/>
            <w:hideMark/>
          </w:tcPr>
          <w:p w14:paraId="1C85A344" w14:textId="77777777" w:rsidR="00600745" w:rsidRPr="00600745" w:rsidRDefault="00600745" w:rsidP="00600745">
            <w:pPr>
              <w:spacing w:after="0" w:line="240" w:lineRule="auto"/>
              <w:jc w:val="center"/>
              <w:rPr>
                <w:rFonts w:ascii="Calibri" w:eastAsia="Times New Roman" w:hAnsi="Calibri" w:cs="Calibri"/>
                <w:b/>
                <w:bCs/>
                <w:color w:val="000000"/>
                <w:sz w:val="18"/>
                <w:szCs w:val="18"/>
                <w:lang w:eastAsia="it-IT"/>
              </w:rPr>
            </w:pPr>
            <w:r w:rsidRPr="00600745">
              <w:rPr>
                <w:rFonts w:ascii="Calibri" w:eastAsia="Times New Roman" w:hAnsi="Calibri" w:cs="Calibri"/>
                <w:b/>
                <w:bCs/>
                <w:color w:val="000000"/>
                <w:sz w:val="18"/>
                <w:szCs w:val="18"/>
                <w:lang w:eastAsia="it-IT"/>
              </w:rPr>
              <w:t>POS</w:t>
            </w:r>
          </w:p>
        </w:tc>
        <w:tc>
          <w:tcPr>
            <w:tcW w:w="2324" w:type="dxa"/>
            <w:tcBorders>
              <w:top w:val="single" w:sz="8" w:space="0" w:color="auto"/>
              <w:left w:val="nil"/>
              <w:bottom w:val="single" w:sz="8" w:space="0" w:color="auto"/>
              <w:right w:val="nil"/>
            </w:tcBorders>
            <w:shd w:val="clear" w:color="auto" w:fill="auto"/>
            <w:vAlign w:val="center"/>
            <w:hideMark/>
          </w:tcPr>
          <w:p w14:paraId="4DD53973" w14:textId="77777777" w:rsidR="00600745" w:rsidRPr="00600745" w:rsidRDefault="00600745" w:rsidP="00600745">
            <w:pPr>
              <w:spacing w:after="0" w:line="240" w:lineRule="auto"/>
              <w:jc w:val="center"/>
              <w:rPr>
                <w:rFonts w:ascii="Calibri" w:eastAsia="Times New Roman" w:hAnsi="Calibri" w:cs="Calibri"/>
                <w:b/>
                <w:bCs/>
                <w:color w:val="000000"/>
                <w:sz w:val="18"/>
                <w:szCs w:val="18"/>
                <w:lang w:eastAsia="it-IT"/>
              </w:rPr>
            </w:pPr>
            <w:r w:rsidRPr="00600745">
              <w:rPr>
                <w:rFonts w:ascii="Calibri" w:eastAsia="Times New Roman" w:hAnsi="Calibri" w:cs="Calibri"/>
                <w:b/>
                <w:bCs/>
                <w:color w:val="000000"/>
                <w:sz w:val="18"/>
                <w:szCs w:val="18"/>
                <w:lang w:eastAsia="it-IT"/>
              </w:rPr>
              <w:t>PROVINCIA</w:t>
            </w:r>
          </w:p>
        </w:tc>
        <w:tc>
          <w:tcPr>
            <w:tcW w:w="1000" w:type="dxa"/>
            <w:tcBorders>
              <w:top w:val="single" w:sz="8" w:space="0" w:color="auto"/>
              <w:left w:val="nil"/>
              <w:bottom w:val="single" w:sz="8" w:space="0" w:color="auto"/>
              <w:right w:val="nil"/>
            </w:tcBorders>
            <w:shd w:val="clear" w:color="auto" w:fill="auto"/>
            <w:vAlign w:val="center"/>
            <w:hideMark/>
          </w:tcPr>
          <w:p w14:paraId="0809D124" w14:textId="77777777" w:rsidR="00600745" w:rsidRPr="00600745" w:rsidRDefault="00600745" w:rsidP="00600745">
            <w:pPr>
              <w:spacing w:after="0" w:line="240" w:lineRule="auto"/>
              <w:jc w:val="center"/>
              <w:rPr>
                <w:rFonts w:ascii="Calibri" w:eastAsia="Times New Roman" w:hAnsi="Calibri" w:cs="Calibri"/>
                <w:b/>
                <w:bCs/>
                <w:color w:val="000000"/>
                <w:sz w:val="18"/>
                <w:szCs w:val="18"/>
                <w:lang w:eastAsia="it-IT"/>
              </w:rPr>
            </w:pPr>
            <w:r w:rsidRPr="00600745">
              <w:rPr>
                <w:rFonts w:ascii="Calibri" w:eastAsia="Times New Roman" w:hAnsi="Calibri" w:cs="Calibri"/>
                <w:b/>
                <w:bCs/>
                <w:color w:val="000000"/>
                <w:sz w:val="18"/>
                <w:szCs w:val="18"/>
                <w:lang w:eastAsia="it-IT"/>
              </w:rPr>
              <w:t>VALORE AGGIUNTO PROCAPITE (EURO)</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BA8F5D1" w14:textId="77777777" w:rsidR="00600745" w:rsidRPr="00600745" w:rsidRDefault="00600745" w:rsidP="00600745">
            <w:pPr>
              <w:spacing w:after="0" w:line="240" w:lineRule="auto"/>
              <w:jc w:val="center"/>
              <w:rPr>
                <w:rFonts w:ascii="Calibri" w:eastAsia="Times New Roman" w:hAnsi="Calibri" w:cs="Calibri"/>
                <w:b/>
                <w:bCs/>
                <w:color w:val="000000"/>
                <w:sz w:val="18"/>
                <w:szCs w:val="18"/>
                <w:lang w:eastAsia="it-IT"/>
              </w:rPr>
            </w:pPr>
            <w:r w:rsidRPr="00600745">
              <w:rPr>
                <w:rFonts w:ascii="Calibri" w:eastAsia="Times New Roman" w:hAnsi="Calibri" w:cs="Calibri"/>
                <w:b/>
                <w:bCs/>
                <w:color w:val="000000"/>
                <w:sz w:val="18"/>
                <w:szCs w:val="18"/>
                <w:lang w:eastAsia="it-IT"/>
              </w:rPr>
              <w:t>VARIAZIONI POSIZIONI RISPETTO AL 2019</w:t>
            </w:r>
          </w:p>
        </w:tc>
        <w:tc>
          <w:tcPr>
            <w:tcW w:w="443" w:type="dxa"/>
            <w:tcBorders>
              <w:top w:val="single" w:sz="8" w:space="0" w:color="auto"/>
              <w:left w:val="nil"/>
              <w:bottom w:val="single" w:sz="8" w:space="0" w:color="auto"/>
              <w:right w:val="nil"/>
            </w:tcBorders>
            <w:shd w:val="clear" w:color="auto" w:fill="auto"/>
            <w:vAlign w:val="center"/>
            <w:hideMark/>
          </w:tcPr>
          <w:p w14:paraId="1BEB456B" w14:textId="77777777" w:rsidR="00600745" w:rsidRPr="00600745" w:rsidRDefault="00600745" w:rsidP="00600745">
            <w:pPr>
              <w:spacing w:after="0" w:line="240" w:lineRule="auto"/>
              <w:jc w:val="center"/>
              <w:rPr>
                <w:rFonts w:ascii="Calibri" w:eastAsia="Times New Roman" w:hAnsi="Calibri" w:cs="Calibri"/>
                <w:b/>
                <w:bCs/>
                <w:color w:val="000000"/>
                <w:sz w:val="18"/>
                <w:szCs w:val="18"/>
                <w:lang w:eastAsia="it-IT"/>
              </w:rPr>
            </w:pPr>
            <w:r w:rsidRPr="00600745">
              <w:rPr>
                <w:rFonts w:ascii="Calibri" w:eastAsia="Times New Roman" w:hAnsi="Calibri" w:cs="Calibri"/>
                <w:b/>
                <w:bCs/>
                <w:color w:val="000000"/>
                <w:sz w:val="18"/>
                <w:szCs w:val="18"/>
                <w:lang w:eastAsia="it-IT"/>
              </w:rPr>
              <w:t>POS</w:t>
            </w:r>
          </w:p>
        </w:tc>
        <w:tc>
          <w:tcPr>
            <w:tcW w:w="2154" w:type="dxa"/>
            <w:tcBorders>
              <w:top w:val="single" w:sz="8" w:space="0" w:color="auto"/>
              <w:left w:val="nil"/>
              <w:bottom w:val="single" w:sz="8" w:space="0" w:color="auto"/>
              <w:right w:val="nil"/>
            </w:tcBorders>
            <w:shd w:val="clear" w:color="auto" w:fill="auto"/>
            <w:vAlign w:val="center"/>
            <w:hideMark/>
          </w:tcPr>
          <w:p w14:paraId="2BD2E254" w14:textId="77777777" w:rsidR="00600745" w:rsidRPr="00600745" w:rsidRDefault="00600745" w:rsidP="00600745">
            <w:pPr>
              <w:spacing w:after="0" w:line="240" w:lineRule="auto"/>
              <w:jc w:val="center"/>
              <w:rPr>
                <w:rFonts w:ascii="Calibri" w:eastAsia="Times New Roman" w:hAnsi="Calibri" w:cs="Calibri"/>
                <w:b/>
                <w:bCs/>
                <w:color w:val="000000"/>
                <w:sz w:val="18"/>
                <w:szCs w:val="18"/>
                <w:lang w:eastAsia="it-IT"/>
              </w:rPr>
            </w:pPr>
            <w:r w:rsidRPr="00600745">
              <w:rPr>
                <w:rFonts w:ascii="Calibri" w:eastAsia="Times New Roman" w:hAnsi="Calibri" w:cs="Calibri"/>
                <w:b/>
                <w:bCs/>
                <w:color w:val="000000"/>
                <w:sz w:val="18"/>
                <w:szCs w:val="18"/>
                <w:lang w:eastAsia="it-IT"/>
              </w:rPr>
              <w:t>PROVINCIA</w:t>
            </w:r>
          </w:p>
        </w:tc>
        <w:tc>
          <w:tcPr>
            <w:tcW w:w="1000" w:type="dxa"/>
            <w:tcBorders>
              <w:top w:val="single" w:sz="8" w:space="0" w:color="auto"/>
              <w:left w:val="nil"/>
              <w:bottom w:val="single" w:sz="8" w:space="0" w:color="auto"/>
              <w:right w:val="nil"/>
            </w:tcBorders>
            <w:shd w:val="clear" w:color="auto" w:fill="auto"/>
            <w:vAlign w:val="center"/>
            <w:hideMark/>
          </w:tcPr>
          <w:p w14:paraId="54417CCB" w14:textId="77777777" w:rsidR="00600745" w:rsidRPr="00600745" w:rsidRDefault="00600745" w:rsidP="00600745">
            <w:pPr>
              <w:spacing w:after="0" w:line="240" w:lineRule="auto"/>
              <w:jc w:val="center"/>
              <w:rPr>
                <w:rFonts w:ascii="Calibri" w:eastAsia="Times New Roman" w:hAnsi="Calibri" w:cs="Calibri"/>
                <w:b/>
                <w:bCs/>
                <w:color w:val="000000"/>
                <w:sz w:val="18"/>
                <w:szCs w:val="18"/>
                <w:lang w:eastAsia="it-IT"/>
              </w:rPr>
            </w:pPr>
            <w:r w:rsidRPr="00600745">
              <w:rPr>
                <w:rFonts w:ascii="Calibri" w:eastAsia="Times New Roman" w:hAnsi="Calibri" w:cs="Calibri"/>
                <w:b/>
                <w:bCs/>
                <w:color w:val="000000"/>
                <w:sz w:val="18"/>
                <w:szCs w:val="18"/>
                <w:lang w:eastAsia="it-IT"/>
              </w:rPr>
              <w:t>VALORE AGGIUNTO PROCAPITE (EURO)</w:t>
            </w:r>
          </w:p>
        </w:tc>
        <w:tc>
          <w:tcPr>
            <w:tcW w:w="1140" w:type="dxa"/>
            <w:tcBorders>
              <w:top w:val="single" w:sz="8" w:space="0" w:color="auto"/>
              <w:left w:val="nil"/>
              <w:bottom w:val="single" w:sz="8" w:space="0" w:color="auto"/>
              <w:right w:val="single" w:sz="8" w:space="0" w:color="auto"/>
            </w:tcBorders>
            <w:shd w:val="clear" w:color="auto" w:fill="auto"/>
            <w:vAlign w:val="center"/>
            <w:hideMark/>
          </w:tcPr>
          <w:p w14:paraId="6F5D4E23" w14:textId="77777777" w:rsidR="00600745" w:rsidRPr="00600745" w:rsidRDefault="00600745" w:rsidP="00600745">
            <w:pPr>
              <w:spacing w:after="0" w:line="240" w:lineRule="auto"/>
              <w:jc w:val="center"/>
              <w:rPr>
                <w:rFonts w:ascii="Calibri" w:eastAsia="Times New Roman" w:hAnsi="Calibri" w:cs="Calibri"/>
                <w:b/>
                <w:bCs/>
                <w:color w:val="000000"/>
                <w:sz w:val="18"/>
                <w:szCs w:val="18"/>
                <w:lang w:eastAsia="it-IT"/>
              </w:rPr>
            </w:pPr>
            <w:r w:rsidRPr="00600745">
              <w:rPr>
                <w:rFonts w:ascii="Calibri" w:eastAsia="Times New Roman" w:hAnsi="Calibri" w:cs="Calibri"/>
                <w:b/>
                <w:bCs/>
                <w:color w:val="000000"/>
                <w:sz w:val="18"/>
                <w:szCs w:val="18"/>
                <w:lang w:eastAsia="it-IT"/>
              </w:rPr>
              <w:t>VARIAZIONI POSIZIONI RISPETTO AL 2019</w:t>
            </w:r>
          </w:p>
        </w:tc>
      </w:tr>
      <w:tr w:rsidR="00600745" w:rsidRPr="00600745" w14:paraId="3E312514"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279852AE"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2324" w:type="dxa"/>
            <w:tcBorders>
              <w:top w:val="nil"/>
              <w:left w:val="nil"/>
              <w:bottom w:val="nil"/>
              <w:right w:val="nil"/>
            </w:tcBorders>
            <w:shd w:val="clear" w:color="auto" w:fill="auto"/>
            <w:noWrap/>
            <w:vAlign w:val="bottom"/>
            <w:hideMark/>
          </w:tcPr>
          <w:p w14:paraId="19A89A35"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Milano</w:t>
            </w:r>
          </w:p>
        </w:tc>
        <w:tc>
          <w:tcPr>
            <w:tcW w:w="1000" w:type="dxa"/>
            <w:tcBorders>
              <w:top w:val="nil"/>
              <w:left w:val="nil"/>
              <w:bottom w:val="nil"/>
              <w:right w:val="nil"/>
            </w:tcBorders>
            <w:shd w:val="clear" w:color="auto" w:fill="auto"/>
            <w:noWrap/>
            <w:vAlign w:val="bottom"/>
            <w:hideMark/>
          </w:tcPr>
          <w:p w14:paraId="7430912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49.331,56</w:t>
            </w:r>
          </w:p>
        </w:tc>
        <w:tc>
          <w:tcPr>
            <w:tcW w:w="1080" w:type="dxa"/>
            <w:tcBorders>
              <w:top w:val="nil"/>
              <w:left w:val="nil"/>
              <w:bottom w:val="nil"/>
              <w:right w:val="single" w:sz="8" w:space="0" w:color="auto"/>
            </w:tcBorders>
            <w:shd w:val="clear" w:color="auto" w:fill="auto"/>
            <w:noWrap/>
            <w:vAlign w:val="bottom"/>
            <w:hideMark/>
          </w:tcPr>
          <w:p w14:paraId="063E9F2E"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c>
          <w:tcPr>
            <w:tcW w:w="443" w:type="dxa"/>
            <w:tcBorders>
              <w:top w:val="nil"/>
              <w:left w:val="nil"/>
              <w:bottom w:val="nil"/>
              <w:right w:val="nil"/>
            </w:tcBorders>
            <w:shd w:val="clear" w:color="auto" w:fill="auto"/>
            <w:noWrap/>
            <w:vAlign w:val="bottom"/>
            <w:hideMark/>
          </w:tcPr>
          <w:p w14:paraId="2B6D58C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55</w:t>
            </w:r>
          </w:p>
        </w:tc>
        <w:tc>
          <w:tcPr>
            <w:tcW w:w="2154" w:type="dxa"/>
            <w:tcBorders>
              <w:top w:val="nil"/>
              <w:left w:val="nil"/>
              <w:bottom w:val="nil"/>
              <w:right w:val="nil"/>
            </w:tcBorders>
            <w:shd w:val="clear" w:color="auto" w:fill="auto"/>
            <w:noWrap/>
            <w:vAlign w:val="bottom"/>
            <w:hideMark/>
          </w:tcPr>
          <w:p w14:paraId="1CF41640"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Livorno</w:t>
            </w:r>
          </w:p>
        </w:tc>
        <w:tc>
          <w:tcPr>
            <w:tcW w:w="1000" w:type="dxa"/>
            <w:tcBorders>
              <w:top w:val="nil"/>
              <w:left w:val="nil"/>
              <w:bottom w:val="nil"/>
              <w:right w:val="nil"/>
            </w:tcBorders>
            <w:shd w:val="clear" w:color="auto" w:fill="auto"/>
            <w:noWrap/>
            <w:vAlign w:val="bottom"/>
            <w:hideMark/>
          </w:tcPr>
          <w:p w14:paraId="5B06590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24.173,28</w:t>
            </w:r>
          </w:p>
        </w:tc>
        <w:tc>
          <w:tcPr>
            <w:tcW w:w="1140" w:type="dxa"/>
            <w:tcBorders>
              <w:top w:val="nil"/>
              <w:left w:val="nil"/>
              <w:bottom w:val="nil"/>
              <w:right w:val="single" w:sz="8" w:space="0" w:color="auto"/>
            </w:tcBorders>
            <w:shd w:val="clear" w:color="auto" w:fill="auto"/>
            <w:noWrap/>
            <w:vAlign w:val="bottom"/>
            <w:hideMark/>
          </w:tcPr>
          <w:p w14:paraId="1D937D0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r>
      <w:tr w:rsidR="00600745" w:rsidRPr="00600745" w14:paraId="35B79F00"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7E68436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c>
          <w:tcPr>
            <w:tcW w:w="2324" w:type="dxa"/>
            <w:tcBorders>
              <w:top w:val="nil"/>
              <w:left w:val="nil"/>
              <w:bottom w:val="nil"/>
              <w:right w:val="nil"/>
            </w:tcBorders>
            <w:shd w:val="clear" w:color="auto" w:fill="auto"/>
            <w:noWrap/>
            <w:vAlign w:val="bottom"/>
            <w:hideMark/>
          </w:tcPr>
          <w:p w14:paraId="00EFEAFF"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Bolzano / Bozen</w:t>
            </w:r>
          </w:p>
        </w:tc>
        <w:tc>
          <w:tcPr>
            <w:tcW w:w="1000" w:type="dxa"/>
            <w:tcBorders>
              <w:top w:val="nil"/>
              <w:left w:val="nil"/>
              <w:bottom w:val="nil"/>
              <w:right w:val="nil"/>
            </w:tcBorders>
            <w:shd w:val="clear" w:color="auto" w:fill="auto"/>
            <w:noWrap/>
            <w:vAlign w:val="bottom"/>
            <w:hideMark/>
          </w:tcPr>
          <w:p w14:paraId="0F16DAE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40.816,97</w:t>
            </w:r>
          </w:p>
        </w:tc>
        <w:tc>
          <w:tcPr>
            <w:tcW w:w="1080" w:type="dxa"/>
            <w:tcBorders>
              <w:top w:val="nil"/>
              <w:left w:val="nil"/>
              <w:bottom w:val="nil"/>
              <w:right w:val="single" w:sz="8" w:space="0" w:color="auto"/>
            </w:tcBorders>
            <w:shd w:val="clear" w:color="auto" w:fill="auto"/>
            <w:noWrap/>
            <w:vAlign w:val="bottom"/>
            <w:hideMark/>
          </w:tcPr>
          <w:p w14:paraId="7AD7C3F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c>
          <w:tcPr>
            <w:tcW w:w="443" w:type="dxa"/>
            <w:tcBorders>
              <w:top w:val="nil"/>
              <w:left w:val="nil"/>
              <w:bottom w:val="nil"/>
              <w:right w:val="nil"/>
            </w:tcBorders>
            <w:shd w:val="clear" w:color="auto" w:fill="auto"/>
            <w:noWrap/>
            <w:vAlign w:val="bottom"/>
            <w:hideMark/>
          </w:tcPr>
          <w:p w14:paraId="4285414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56</w:t>
            </w:r>
          </w:p>
        </w:tc>
        <w:tc>
          <w:tcPr>
            <w:tcW w:w="2154" w:type="dxa"/>
            <w:tcBorders>
              <w:top w:val="nil"/>
              <w:left w:val="nil"/>
              <w:bottom w:val="nil"/>
              <w:right w:val="nil"/>
            </w:tcBorders>
            <w:shd w:val="clear" w:color="auto" w:fill="auto"/>
            <w:noWrap/>
            <w:vAlign w:val="bottom"/>
            <w:hideMark/>
          </w:tcPr>
          <w:p w14:paraId="0D26ADCB"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Asti</w:t>
            </w:r>
          </w:p>
        </w:tc>
        <w:tc>
          <w:tcPr>
            <w:tcW w:w="1000" w:type="dxa"/>
            <w:tcBorders>
              <w:top w:val="nil"/>
              <w:left w:val="nil"/>
              <w:bottom w:val="nil"/>
              <w:right w:val="nil"/>
            </w:tcBorders>
            <w:shd w:val="clear" w:color="auto" w:fill="auto"/>
            <w:noWrap/>
            <w:vAlign w:val="bottom"/>
            <w:hideMark/>
          </w:tcPr>
          <w:p w14:paraId="1FE60C8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24.087,65</w:t>
            </w:r>
          </w:p>
        </w:tc>
        <w:tc>
          <w:tcPr>
            <w:tcW w:w="1140" w:type="dxa"/>
            <w:tcBorders>
              <w:top w:val="nil"/>
              <w:left w:val="nil"/>
              <w:bottom w:val="nil"/>
              <w:right w:val="single" w:sz="8" w:space="0" w:color="auto"/>
            </w:tcBorders>
            <w:shd w:val="clear" w:color="auto" w:fill="auto"/>
            <w:noWrap/>
            <w:vAlign w:val="bottom"/>
            <w:hideMark/>
          </w:tcPr>
          <w:p w14:paraId="577B715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w:t>
            </w:r>
          </w:p>
        </w:tc>
      </w:tr>
      <w:tr w:rsidR="00600745" w:rsidRPr="00600745" w14:paraId="69CF3391"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605B83A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w:t>
            </w:r>
          </w:p>
        </w:tc>
        <w:tc>
          <w:tcPr>
            <w:tcW w:w="2324" w:type="dxa"/>
            <w:tcBorders>
              <w:top w:val="nil"/>
              <w:left w:val="nil"/>
              <w:bottom w:val="nil"/>
              <w:right w:val="nil"/>
            </w:tcBorders>
            <w:shd w:val="clear" w:color="auto" w:fill="auto"/>
            <w:noWrap/>
            <w:vAlign w:val="bottom"/>
            <w:hideMark/>
          </w:tcPr>
          <w:p w14:paraId="31D6E13B"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Bologna</w:t>
            </w:r>
          </w:p>
        </w:tc>
        <w:tc>
          <w:tcPr>
            <w:tcW w:w="1000" w:type="dxa"/>
            <w:tcBorders>
              <w:top w:val="nil"/>
              <w:left w:val="nil"/>
              <w:bottom w:val="nil"/>
              <w:right w:val="nil"/>
            </w:tcBorders>
            <w:shd w:val="clear" w:color="auto" w:fill="auto"/>
            <w:noWrap/>
            <w:vAlign w:val="bottom"/>
            <w:hideMark/>
          </w:tcPr>
          <w:p w14:paraId="1B8B716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37.275,98</w:t>
            </w:r>
          </w:p>
        </w:tc>
        <w:tc>
          <w:tcPr>
            <w:tcW w:w="1080" w:type="dxa"/>
            <w:tcBorders>
              <w:top w:val="nil"/>
              <w:left w:val="nil"/>
              <w:bottom w:val="nil"/>
              <w:right w:val="single" w:sz="8" w:space="0" w:color="auto"/>
            </w:tcBorders>
            <w:shd w:val="clear" w:color="auto" w:fill="auto"/>
            <w:noWrap/>
            <w:vAlign w:val="bottom"/>
            <w:hideMark/>
          </w:tcPr>
          <w:p w14:paraId="4F8AFFA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227F2F3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57</w:t>
            </w:r>
          </w:p>
        </w:tc>
        <w:tc>
          <w:tcPr>
            <w:tcW w:w="2154" w:type="dxa"/>
            <w:tcBorders>
              <w:top w:val="nil"/>
              <w:left w:val="nil"/>
              <w:bottom w:val="nil"/>
              <w:right w:val="nil"/>
            </w:tcBorders>
            <w:shd w:val="clear" w:color="auto" w:fill="auto"/>
            <w:noWrap/>
            <w:vAlign w:val="bottom"/>
            <w:hideMark/>
          </w:tcPr>
          <w:p w14:paraId="04443B7D"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Ascoli Piceno</w:t>
            </w:r>
          </w:p>
        </w:tc>
        <w:tc>
          <w:tcPr>
            <w:tcW w:w="1000" w:type="dxa"/>
            <w:tcBorders>
              <w:top w:val="nil"/>
              <w:left w:val="nil"/>
              <w:bottom w:val="nil"/>
              <w:right w:val="nil"/>
            </w:tcBorders>
            <w:shd w:val="clear" w:color="auto" w:fill="auto"/>
            <w:noWrap/>
            <w:vAlign w:val="bottom"/>
            <w:hideMark/>
          </w:tcPr>
          <w:p w14:paraId="48AAD55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23.803,57</w:t>
            </w:r>
          </w:p>
        </w:tc>
        <w:tc>
          <w:tcPr>
            <w:tcW w:w="1140" w:type="dxa"/>
            <w:tcBorders>
              <w:top w:val="nil"/>
              <w:left w:val="nil"/>
              <w:bottom w:val="nil"/>
              <w:right w:val="single" w:sz="8" w:space="0" w:color="auto"/>
            </w:tcBorders>
            <w:shd w:val="clear" w:color="auto" w:fill="auto"/>
            <w:noWrap/>
            <w:vAlign w:val="bottom"/>
            <w:hideMark/>
          </w:tcPr>
          <w:p w14:paraId="5CC76DE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r>
      <w:tr w:rsidR="00600745" w:rsidRPr="00600745" w14:paraId="668A7865"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4CFA31E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w:t>
            </w:r>
          </w:p>
        </w:tc>
        <w:tc>
          <w:tcPr>
            <w:tcW w:w="2324" w:type="dxa"/>
            <w:tcBorders>
              <w:top w:val="nil"/>
              <w:left w:val="nil"/>
              <w:bottom w:val="nil"/>
              <w:right w:val="nil"/>
            </w:tcBorders>
            <w:shd w:val="clear" w:color="auto" w:fill="auto"/>
            <w:noWrap/>
            <w:vAlign w:val="bottom"/>
            <w:hideMark/>
          </w:tcPr>
          <w:p w14:paraId="3559E1F5"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Firenze</w:t>
            </w:r>
          </w:p>
        </w:tc>
        <w:tc>
          <w:tcPr>
            <w:tcW w:w="1000" w:type="dxa"/>
            <w:tcBorders>
              <w:top w:val="nil"/>
              <w:left w:val="nil"/>
              <w:bottom w:val="nil"/>
              <w:right w:val="nil"/>
            </w:tcBorders>
            <w:shd w:val="clear" w:color="auto" w:fill="auto"/>
            <w:noWrap/>
            <w:vAlign w:val="bottom"/>
            <w:hideMark/>
          </w:tcPr>
          <w:p w14:paraId="543E48D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37.236,94</w:t>
            </w:r>
          </w:p>
        </w:tc>
        <w:tc>
          <w:tcPr>
            <w:tcW w:w="1080" w:type="dxa"/>
            <w:tcBorders>
              <w:top w:val="nil"/>
              <w:left w:val="nil"/>
              <w:bottom w:val="nil"/>
              <w:right w:val="single" w:sz="8" w:space="0" w:color="auto"/>
            </w:tcBorders>
            <w:shd w:val="clear" w:color="auto" w:fill="auto"/>
            <w:noWrap/>
            <w:vAlign w:val="bottom"/>
            <w:hideMark/>
          </w:tcPr>
          <w:p w14:paraId="747C91C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69F26CC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58</w:t>
            </w:r>
          </w:p>
        </w:tc>
        <w:tc>
          <w:tcPr>
            <w:tcW w:w="2154" w:type="dxa"/>
            <w:tcBorders>
              <w:top w:val="nil"/>
              <w:left w:val="nil"/>
              <w:bottom w:val="nil"/>
              <w:right w:val="nil"/>
            </w:tcBorders>
            <w:shd w:val="clear" w:color="auto" w:fill="auto"/>
            <w:noWrap/>
            <w:vAlign w:val="bottom"/>
            <w:hideMark/>
          </w:tcPr>
          <w:p w14:paraId="14448363"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Chieti</w:t>
            </w:r>
          </w:p>
        </w:tc>
        <w:tc>
          <w:tcPr>
            <w:tcW w:w="1000" w:type="dxa"/>
            <w:tcBorders>
              <w:top w:val="nil"/>
              <w:left w:val="nil"/>
              <w:bottom w:val="nil"/>
              <w:right w:val="nil"/>
            </w:tcBorders>
            <w:shd w:val="clear" w:color="auto" w:fill="auto"/>
            <w:noWrap/>
            <w:vAlign w:val="bottom"/>
            <w:hideMark/>
          </w:tcPr>
          <w:p w14:paraId="2371261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23.586,57</w:t>
            </w:r>
          </w:p>
        </w:tc>
        <w:tc>
          <w:tcPr>
            <w:tcW w:w="1140" w:type="dxa"/>
            <w:tcBorders>
              <w:top w:val="nil"/>
              <w:left w:val="nil"/>
              <w:bottom w:val="nil"/>
              <w:right w:val="single" w:sz="8" w:space="0" w:color="auto"/>
            </w:tcBorders>
            <w:shd w:val="clear" w:color="auto" w:fill="auto"/>
            <w:noWrap/>
            <w:vAlign w:val="bottom"/>
            <w:hideMark/>
          </w:tcPr>
          <w:p w14:paraId="46CDF70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r>
      <w:tr w:rsidR="00600745" w:rsidRPr="00600745" w14:paraId="6868CFCD"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6939A50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5</w:t>
            </w:r>
          </w:p>
        </w:tc>
        <w:tc>
          <w:tcPr>
            <w:tcW w:w="2324" w:type="dxa"/>
            <w:tcBorders>
              <w:top w:val="nil"/>
              <w:left w:val="nil"/>
              <w:bottom w:val="nil"/>
              <w:right w:val="nil"/>
            </w:tcBorders>
            <w:shd w:val="clear" w:color="auto" w:fill="auto"/>
            <w:noWrap/>
            <w:vAlign w:val="bottom"/>
            <w:hideMark/>
          </w:tcPr>
          <w:p w14:paraId="637C5AA0"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Roma</w:t>
            </w:r>
          </w:p>
        </w:tc>
        <w:tc>
          <w:tcPr>
            <w:tcW w:w="1000" w:type="dxa"/>
            <w:tcBorders>
              <w:top w:val="nil"/>
              <w:left w:val="nil"/>
              <w:bottom w:val="nil"/>
              <w:right w:val="nil"/>
            </w:tcBorders>
            <w:shd w:val="clear" w:color="auto" w:fill="auto"/>
            <w:noWrap/>
            <w:vAlign w:val="bottom"/>
            <w:hideMark/>
          </w:tcPr>
          <w:p w14:paraId="34AD939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35.050,49</w:t>
            </w:r>
          </w:p>
        </w:tc>
        <w:tc>
          <w:tcPr>
            <w:tcW w:w="1080" w:type="dxa"/>
            <w:tcBorders>
              <w:top w:val="nil"/>
              <w:left w:val="nil"/>
              <w:bottom w:val="nil"/>
              <w:right w:val="single" w:sz="8" w:space="0" w:color="auto"/>
            </w:tcBorders>
            <w:shd w:val="clear" w:color="auto" w:fill="auto"/>
            <w:noWrap/>
            <w:vAlign w:val="bottom"/>
            <w:hideMark/>
          </w:tcPr>
          <w:p w14:paraId="02044EDE"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7A525EE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59</w:t>
            </w:r>
          </w:p>
        </w:tc>
        <w:tc>
          <w:tcPr>
            <w:tcW w:w="2154" w:type="dxa"/>
            <w:tcBorders>
              <w:top w:val="nil"/>
              <w:left w:val="nil"/>
              <w:bottom w:val="nil"/>
              <w:right w:val="nil"/>
            </w:tcBorders>
            <w:shd w:val="clear" w:color="auto" w:fill="auto"/>
            <w:noWrap/>
            <w:vAlign w:val="bottom"/>
            <w:hideMark/>
          </w:tcPr>
          <w:p w14:paraId="450FD655"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Rovigo</w:t>
            </w:r>
          </w:p>
        </w:tc>
        <w:tc>
          <w:tcPr>
            <w:tcW w:w="1000" w:type="dxa"/>
            <w:tcBorders>
              <w:top w:val="nil"/>
              <w:left w:val="nil"/>
              <w:bottom w:val="nil"/>
              <w:right w:val="nil"/>
            </w:tcBorders>
            <w:shd w:val="clear" w:color="auto" w:fill="auto"/>
            <w:noWrap/>
            <w:vAlign w:val="bottom"/>
            <w:hideMark/>
          </w:tcPr>
          <w:p w14:paraId="0B9E429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23.560,34</w:t>
            </w:r>
          </w:p>
        </w:tc>
        <w:tc>
          <w:tcPr>
            <w:tcW w:w="1140" w:type="dxa"/>
            <w:tcBorders>
              <w:top w:val="nil"/>
              <w:left w:val="nil"/>
              <w:bottom w:val="nil"/>
              <w:right w:val="single" w:sz="8" w:space="0" w:color="auto"/>
            </w:tcBorders>
            <w:shd w:val="clear" w:color="auto" w:fill="auto"/>
            <w:noWrap/>
            <w:vAlign w:val="bottom"/>
            <w:hideMark/>
          </w:tcPr>
          <w:p w14:paraId="516D47D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r>
      <w:tr w:rsidR="00600745" w:rsidRPr="00600745" w14:paraId="76D7DB2A"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17F8D22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6</w:t>
            </w:r>
          </w:p>
        </w:tc>
        <w:tc>
          <w:tcPr>
            <w:tcW w:w="2324" w:type="dxa"/>
            <w:tcBorders>
              <w:top w:val="nil"/>
              <w:left w:val="nil"/>
              <w:bottom w:val="nil"/>
              <w:right w:val="nil"/>
            </w:tcBorders>
            <w:shd w:val="clear" w:color="auto" w:fill="auto"/>
            <w:noWrap/>
            <w:vAlign w:val="bottom"/>
            <w:hideMark/>
          </w:tcPr>
          <w:p w14:paraId="3FA1E99F"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Parma</w:t>
            </w:r>
          </w:p>
        </w:tc>
        <w:tc>
          <w:tcPr>
            <w:tcW w:w="1000" w:type="dxa"/>
            <w:tcBorders>
              <w:top w:val="nil"/>
              <w:left w:val="nil"/>
              <w:bottom w:val="nil"/>
              <w:right w:val="nil"/>
            </w:tcBorders>
            <w:shd w:val="clear" w:color="auto" w:fill="auto"/>
            <w:noWrap/>
            <w:vAlign w:val="bottom"/>
            <w:hideMark/>
          </w:tcPr>
          <w:p w14:paraId="418C43F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34.871,64</w:t>
            </w:r>
          </w:p>
        </w:tc>
        <w:tc>
          <w:tcPr>
            <w:tcW w:w="1080" w:type="dxa"/>
            <w:tcBorders>
              <w:top w:val="nil"/>
              <w:left w:val="nil"/>
              <w:bottom w:val="nil"/>
              <w:right w:val="single" w:sz="8" w:space="0" w:color="auto"/>
            </w:tcBorders>
            <w:shd w:val="clear" w:color="auto" w:fill="auto"/>
            <w:noWrap/>
            <w:vAlign w:val="bottom"/>
            <w:hideMark/>
          </w:tcPr>
          <w:p w14:paraId="3D1928D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0940711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60</w:t>
            </w:r>
          </w:p>
        </w:tc>
        <w:tc>
          <w:tcPr>
            <w:tcW w:w="2154" w:type="dxa"/>
            <w:tcBorders>
              <w:top w:val="nil"/>
              <w:left w:val="nil"/>
              <w:bottom w:val="nil"/>
              <w:right w:val="nil"/>
            </w:tcBorders>
            <w:shd w:val="clear" w:color="auto" w:fill="auto"/>
            <w:noWrap/>
            <w:vAlign w:val="bottom"/>
            <w:hideMark/>
          </w:tcPr>
          <w:p w14:paraId="08401112"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L'Aquila</w:t>
            </w:r>
          </w:p>
        </w:tc>
        <w:tc>
          <w:tcPr>
            <w:tcW w:w="1000" w:type="dxa"/>
            <w:tcBorders>
              <w:top w:val="nil"/>
              <w:left w:val="nil"/>
              <w:bottom w:val="nil"/>
              <w:right w:val="nil"/>
            </w:tcBorders>
            <w:shd w:val="clear" w:color="auto" w:fill="auto"/>
            <w:noWrap/>
            <w:vAlign w:val="bottom"/>
            <w:hideMark/>
          </w:tcPr>
          <w:p w14:paraId="1CDBA77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23.502,71</w:t>
            </w:r>
          </w:p>
        </w:tc>
        <w:tc>
          <w:tcPr>
            <w:tcW w:w="1140" w:type="dxa"/>
            <w:tcBorders>
              <w:top w:val="nil"/>
              <w:left w:val="nil"/>
              <w:bottom w:val="nil"/>
              <w:right w:val="single" w:sz="8" w:space="0" w:color="auto"/>
            </w:tcBorders>
            <w:shd w:val="clear" w:color="auto" w:fill="auto"/>
            <w:noWrap/>
            <w:vAlign w:val="bottom"/>
            <w:hideMark/>
          </w:tcPr>
          <w:p w14:paraId="31B48ED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r>
      <w:tr w:rsidR="00600745" w:rsidRPr="00600745" w14:paraId="68B37AB4"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51FFC20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7</w:t>
            </w:r>
          </w:p>
        </w:tc>
        <w:tc>
          <w:tcPr>
            <w:tcW w:w="2324" w:type="dxa"/>
            <w:tcBorders>
              <w:top w:val="nil"/>
              <w:left w:val="nil"/>
              <w:bottom w:val="nil"/>
              <w:right w:val="nil"/>
            </w:tcBorders>
            <w:shd w:val="clear" w:color="auto" w:fill="auto"/>
            <w:noWrap/>
            <w:vAlign w:val="bottom"/>
            <w:hideMark/>
          </w:tcPr>
          <w:p w14:paraId="5BC39CC6"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Trento</w:t>
            </w:r>
          </w:p>
        </w:tc>
        <w:tc>
          <w:tcPr>
            <w:tcW w:w="1000" w:type="dxa"/>
            <w:tcBorders>
              <w:top w:val="nil"/>
              <w:left w:val="nil"/>
              <w:bottom w:val="nil"/>
              <w:right w:val="nil"/>
            </w:tcBorders>
            <w:shd w:val="clear" w:color="auto" w:fill="auto"/>
            <w:noWrap/>
            <w:vAlign w:val="bottom"/>
            <w:hideMark/>
          </w:tcPr>
          <w:p w14:paraId="7A62390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34.247,00</w:t>
            </w:r>
          </w:p>
        </w:tc>
        <w:tc>
          <w:tcPr>
            <w:tcW w:w="1080" w:type="dxa"/>
            <w:tcBorders>
              <w:top w:val="nil"/>
              <w:left w:val="nil"/>
              <w:bottom w:val="nil"/>
              <w:right w:val="single" w:sz="8" w:space="0" w:color="auto"/>
            </w:tcBorders>
            <w:shd w:val="clear" w:color="auto" w:fill="auto"/>
            <w:noWrap/>
            <w:vAlign w:val="bottom"/>
            <w:hideMark/>
          </w:tcPr>
          <w:p w14:paraId="2532F7B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c>
          <w:tcPr>
            <w:tcW w:w="443" w:type="dxa"/>
            <w:tcBorders>
              <w:top w:val="nil"/>
              <w:left w:val="nil"/>
              <w:bottom w:val="nil"/>
              <w:right w:val="nil"/>
            </w:tcBorders>
            <w:shd w:val="clear" w:color="auto" w:fill="auto"/>
            <w:noWrap/>
            <w:vAlign w:val="bottom"/>
            <w:hideMark/>
          </w:tcPr>
          <w:p w14:paraId="2F55310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61</w:t>
            </w:r>
          </w:p>
        </w:tc>
        <w:tc>
          <w:tcPr>
            <w:tcW w:w="2154" w:type="dxa"/>
            <w:tcBorders>
              <w:top w:val="nil"/>
              <w:left w:val="nil"/>
              <w:bottom w:val="nil"/>
              <w:right w:val="nil"/>
            </w:tcBorders>
            <w:shd w:val="clear" w:color="auto" w:fill="auto"/>
            <w:noWrap/>
            <w:vAlign w:val="bottom"/>
            <w:hideMark/>
          </w:tcPr>
          <w:p w14:paraId="72465FFC"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Pistoia</w:t>
            </w:r>
          </w:p>
        </w:tc>
        <w:tc>
          <w:tcPr>
            <w:tcW w:w="1000" w:type="dxa"/>
            <w:tcBorders>
              <w:top w:val="nil"/>
              <w:left w:val="nil"/>
              <w:bottom w:val="nil"/>
              <w:right w:val="nil"/>
            </w:tcBorders>
            <w:shd w:val="clear" w:color="auto" w:fill="auto"/>
            <w:noWrap/>
            <w:vAlign w:val="bottom"/>
            <w:hideMark/>
          </w:tcPr>
          <w:p w14:paraId="10DD383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23.420,92</w:t>
            </w:r>
          </w:p>
        </w:tc>
        <w:tc>
          <w:tcPr>
            <w:tcW w:w="1140" w:type="dxa"/>
            <w:tcBorders>
              <w:top w:val="nil"/>
              <w:left w:val="nil"/>
              <w:bottom w:val="nil"/>
              <w:right w:val="single" w:sz="8" w:space="0" w:color="auto"/>
            </w:tcBorders>
            <w:shd w:val="clear" w:color="auto" w:fill="auto"/>
            <w:noWrap/>
            <w:vAlign w:val="bottom"/>
            <w:hideMark/>
          </w:tcPr>
          <w:p w14:paraId="11C25E9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w:t>
            </w:r>
          </w:p>
        </w:tc>
      </w:tr>
      <w:tr w:rsidR="00600745" w:rsidRPr="00600745" w14:paraId="00158690"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48773FE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8</w:t>
            </w:r>
          </w:p>
        </w:tc>
        <w:tc>
          <w:tcPr>
            <w:tcW w:w="2324" w:type="dxa"/>
            <w:tcBorders>
              <w:top w:val="nil"/>
              <w:left w:val="nil"/>
              <w:bottom w:val="nil"/>
              <w:right w:val="nil"/>
            </w:tcBorders>
            <w:shd w:val="clear" w:color="auto" w:fill="auto"/>
            <w:noWrap/>
            <w:vAlign w:val="bottom"/>
            <w:hideMark/>
          </w:tcPr>
          <w:p w14:paraId="21DB6C11"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Valle d'Aosta / Vallée d'Aoste</w:t>
            </w:r>
          </w:p>
        </w:tc>
        <w:tc>
          <w:tcPr>
            <w:tcW w:w="1000" w:type="dxa"/>
            <w:tcBorders>
              <w:top w:val="nil"/>
              <w:left w:val="nil"/>
              <w:bottom w:val="nil"/>
              <w:right w:val="nil"/>
            </w:tcBorders>
            <w:shd w:val="clear" w:color="auto" w:fill="auto"/>
            <w:noWrap/>
            <w:vAlign w:val="bottom"/>
            <w:hideMark/>
          </w:tcPr>
          <w:p w14:paraId="79CD984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34.095,77</w:t>
            </w:r>
          </w:p>
        </w:tc>
        <w:tc>
          <w:tcPr>
            <w:tcW w:w="1080" w:type="dxa"/>
            <w:tcBorders>
              <w:top w:val="nil"/>
              <w:left w:val="nil"/>
              <w:bottom w:val="nil"/>
              <w:right w:val="single" w:sz="8" w:space="0" w:color="auto"/>
            </w:tcBorders>
            <w:shd w:val="clear" w:color="auto" w:fill="auto"/>
            <w:noWrap/>
            <w:vAlign w:val="bottom"/>
            <w:hideMark/>
          </w:tcPr>
          <w:p w14:paraId="5F5795F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c>
          <w:tcPr>
            <w:tcW w:w="443" w:type="dxa"/>
            <w:tcBorders>
              <w:top w:val="nil"/>
              <w:left w:val="nil"/>
              <w:bottom w:val="nil"/>
              <w:right w:val="nil"/>
            </w:tcBorders>
            <w:shd w:val="clear" w:color="auto" w:fill="auto"/>
            <w:noWrap/>
            <w:vAlign w:val="bottom"/>
            <w:hideMark/>
          </w:tcPr>
          <w:p w14:paraId="3E1FF03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62</w:t>
            </w:r>
          </w:p>
        </w:tc>
        <w:tc>
          <w:tcPr>
            <w:tcW w:w="2154" w:type="dxa"/>
            <w:tcBorders>
              <w:top w:val="nil"/>
              <w:left w:val="nil"/>
              <w:bottom w:val="nil"/>
              <w:right w:val="nil"/>
            </w:tcBorders>
            <w:shd w:val="clear" w:color="auto" w:fill="auto"/>
            <w:noWrap/>
            <w:vAlign w:val="bottom"/>
            <w:hideMark/>
          </w:tcPr>
          <w:p w14:paraId="6A4FCB51"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Terni</w:t>
            </w:r>
          </w:p>
        </w:tc>
        <w:tc>
          <w:tcPr>
            <w:tcW w:w="1000" w:type="dxa"/>
            <w:tcBorders>
              <w:top w:val="nil"/>
              <w:left w:val="nil"/>
              <w:bottom w:val="nil"/>
              <w:right w:val="nil"/>
            </w:tcBorders>
            <w:shd w:val="clear" w:color="auto" w:fill="auto"/>
            <w:noWrap/>
            <w:vAlign w:val="bottom"/>
            <w:hideMark/>
          </w:tcPr>
          <w:p w14:paraId="1237D1F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23.030,33</w:t>
            </w:r>
          </w:p>
        </w:tc>
        <w:tc>
          <w:tcPr>
            <w:tcW w:w="1140" w:type="dxa"/>
            <w:tcBorders>
              <w:top w:val="nil"/>
              <w:left w:val="nil"/>
              <w:bottom w:val="nil"/>
              <w:right w:val="single" w:sz="8" w:space="0" w:color="auto"/>
            </w:tcBorders>
            <w:shd w:val="clear" w:color="auto" w:fill="auto"/>
            <w:noWrap/>
            <w:vAlign w:val="bottom"/>
            <w:hideMark/>
          </w:tcPr>
          <w:p w14:paraId="027FE8E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8</w:t>
            </w:r>
          </w:p>
        </w:tc>
      </w:tr>
      <w:tr w:rsidR="00600745" w:rsidRPr="00600745" w14:paraId="75652392"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54D7E3B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9</w:t>
            </w:r>
          </w:p>
        </w:tc>
        <w:tc>
          <w:tcPr>
            <w:tcW w:w="2324" w:type="dxa"/>
            <w:tcBorders>
              <w:top w:val="nil"/>
              <w:left w:val="nil"/>
              <w:bottom w:val="nil"/>
              <w:right w:val="nil"/>
            </w:tcBorders>
            <w:shd w:val="clear" w:color="auto" w:fill="auto"/>
            <w:noWrap/>
            <w:vAlign w:val="bottom"/>
            <w:hideMark/>
          </w:tcPr>
          <w:p w14:paraId="79486E37"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Modena</w:t>
            </w:r>
          </w:p>
        </w:tc>
        <w:tc>
          <w:tcPr>
            <w:tcW w:w="1000" w:type="dxa"/>
            <w:tcBorders>
              <w:top w:val="nil"/>
              <w:left w:val="nil"/>
              <w:bottom w:val="nil"/>
              <w:right w:val="nil"/>
            </w:tcBorders>
            <w:shd w:val="clear" w:color="auto" w:fill="auto"/>
            <w:noWrap/>
            <w:vAlign w:val="bottom"/>
            <w:hideMark/>
          </w:tcPr>
          <w:p w14:paraId="6AB93BD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33.882,86</w:t>
            </w:r>
          </w:p>
        </w:tc>
        <w:tc>
          <w:tcPr>
            <w:tcW w:w="1080" w:type="dxa"/>
            <w:tcBorders>
              <w:top w:val="nil"/>
              <w:left w:val="nil"/>
              <w:bottom w:val="nil"/>
              <w:right w:val="single" w:sz="8" w:space="0" w:color="auto"/>
            </w:tcBorders>
            <w:shd w:val="clear" w:color="auto" w:fill="auto"/>
            <w:noWrap/>
            <w:vAlign w:val="bottom"/>
            <w:hideMark/>
          </w:tcPr>
          <w:p w14:paraId="5F38F3A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c>
          <w:tcPr>
            <w:tcW w:w="443" w:type="dxa"/>
            <w:tcBorders>
              <w:top w:val="nil"/>
              <w:left w:val="nil"/>
              <w:bottom w:val="nil"/>
              <w:right w:val="nil"/>
            </w:tcBorders>
            <w:shd w:val="clear" w:color="auto" w:fill="auto"/>
            <w:noWrap/>
            <w:vAlign w:val="bottom"/>
            <w:hideMark/>
          </w:tcPr>
          <w:p w14:paraId="26E7497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63</w:t>
            </w:r>
          </w:p>
        </w:tc>
        <w:tc>
          <w:tcPr>
            <w:tcW w:w="2154" w:type="dxa"/>
            <w:tcBorders>
              <w:top w:val="nil"/>
              <w:left w:val="nil"/>
              <w:bottom w:val="nil"/>
              <w:right w:val="nil"/>
            </w:tcBorders>
            <w:shd w:val="clear" w:color="auto" w:fill="auto"/>
            <w:noWrap/>
            <w:vAlign w:val="bottom"/>
            <w:hideMark/>
          </w:tcPr>
          <w:p w14:paraId="11FB5718"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Pavia</w:t>
            </w:r>
          </w:p>
        </w:tc>
        <w:tc>
          <w:tcPr>
            <w:tcW w:w="1000" w:type="dxa"/>
            <w:tcBorders>
              <w:top w:val="nil"/>
              <w:left w:val="nil"/>
              <w:bottom w:val="nil"/>
              <w:right w:val="nil"/>
            </w:tcBorders>
            <w:shd w:val="clear" w:color="auto" w:fill="auto"/>
            <w:noWrap/>
            <w:vAlign w:val="bottom"/>
            <w:hideMark/>
          </w:tcPr>
          <w:p w14:paraId="7248F1E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22.929,57</w:t>
            </w:r>
          </w:p>
        </w:tc>
        <w:tc>
          <w:tcPr>
            <w:tcW w:w="1140" w:type="dxa"/>
            <w:tcBorders>
              <w:top w:val="nil"/>
              <w:left w:val="nil"/>
              <w:bottom w:val="nil"/>
              <w:right w:val="single" w:sz="8" w:space="0" w:color="auto"/>
            </w:tcBorders>
            <w:shd w:val="clear" w:color="auto" w:fill="auto"/>
            <w:noWrap/>
            <w:vAlign w:val="bottom"/>
            <w:hideMark/>
          </w:tcPr>
          <w:p w14:paraId="7375485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r>
      <w:tr w:rsidR="00600745" w:rsidRPr="00600745" w14:paraId="792B3682"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44127C8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10</w:t>
            </w:r>
          </w:p>
        </w:tc>
        <w:tc>
          <w:tcPr>
            <w:tcW w:w="2324" w:type="dxa"/>
            <w:tcBorders>
              <w:top w:val="nil"/>
              <w:left w:val="nil"/>
              <w:bottom w:val="nil"/>
              <w:right w:val="nil"/>
            </w:tcBorders>
            <w:shd w:val="clear" w:color="auto" w:fill="auto"/>
            <w:noWrap/>
            <w:vAlign w:val="bottom"/>
            <w:hideMark/>
          </w:tcPr>
          <w:p w14:paraId="143FC420"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Genova</w:t>
            </w:r>
          </w:p>
        </w:tc>
        <w:tc>
          <w:tcPr>
            <w:tcW w:w="1000" w:type="dxa"/>
            <w:tcBorders>
              <w:top w:val="nil"/>
              <w:left w:val="nil"/>
              <w:bottom w:val="nil"/>
              <w:right w:val="nil"/>
            </w:tcBorders>
            <w:shd w:val="clear" w:color="auto" w:fill="auto"/>
            <w:noWrap/>
            <w:vAlign w:val="bottom"/>
            <w:hideMark/>
          </w:tcPr>
          <w:p w14:paraId="6D53AFE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33.407,42</w:t>
            </w:r>
          </w:p>
        </w:tc>
        <w:tc>
          <w:tcPr>
            <w:tcW w:w="1080" w:type="dxa"/>
            <w:tcBorders>
              <w:top w:val="nil"/>
              <w:left w:val="nil"/>
              <w:bottom w:val="nil"/>
              <w:right w:val="single" w:sz="8" w:space="0" w:color="auto"/>
            </w:tcBorders>
            <w:shd w:val="clear" w:color="auto" w:fill="auto"/>
            <w:noWrap/>
            <w:vAlign w:val="bottom"/>
            <w:hideMark/>
          </w:tcPr>
          <w:p w14:paraId="3E8F23AE"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1458951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64</w:t>
            </w:r>
          </w:p>
        </w:tc>
        <w:tc>
          <w:tcPr>
            <w:tcW w:w="2154" w:type="dxa"/>
            <w:tcBorders>
              <w:top w:val="nil"/>
              <w:left w:val="nil"/>
              <w:bottom w:val="nil"/>
              <w:right w:val="nil"/>
            </w:tcBorders>
            <w:shd w:val="clear" w:color="auto" w:fill="auto"/>
            <w:noWrap/>
            <w:vAlign w:val="bottom"/>
            <w:hideMark/>
          </w:tcPr>
          <w:p w14:paraId="255B7243"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Verbano-Cusio-Ossola</w:t>
            </w:r>
          </w:p>
        </w:tc>
        <w:tc>
          <w:tcPr>
            <w:tcW w:w="1000" w:type="dxa"/>
            <w:tcBorders>
              <w:top w:val="nil"/>
              <w:left w:val="nil"/>
              <w:bottom w:val="nil"/>
              <w:right w:val="nil"/>
            </w:tcBorders>
            <w:shd w:val="clear" w:color="auto" w:fill="auto"/>
            <w:noWrap/>
            <w:vAlign w:val="bottom"/>
            <w:hideMark/>
          </w:tcPr>
          <w:p w14:paraId="403B39F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22.802,52</w:t>
            </w:r>
          </w:p>
        </w:tc>
        <w:tc>
          <w:tcPr>
            <w:tcW w:w="1140" w:type="dxa"/>
            <w:tcBorders>
              <w:top w:val="nil"/>
              <w:left w:val="nil"/>
              <w:bottom w:val="nil"/>
              <w:right w:val="single" w:sz="8" w:space="0" w:color="auto"/>
            </w:tcBorders>
            <w:shd w:val="clear" w:color="auto" w:fill="auto"/>
            <w:noWrap/>
            <w:vAlign w:val="bottom"/>
            <w:hideMark/>
          </w:tcPr>
          <w:p w14:paraId="3B2AEF4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4E697FEC"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09D71BC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11</w:t>
            </w:r>
          </w:p>
        </w:tc>
        <w:tc>
          <w:tcPr>
            <w:tcW w:w="2324" w:type="dxa"/>
            <w:tcBorders>
              <w:top w:val="nil"/>
              <w:left w:val="nil"/>
              <w:bottom w:val="nil"/>
              <w:right w:val="nil"/>
            </w:tcBorders>
            <w:shd w:val="clear" w:color="auto" w:fill="auto"/>
            <w:noWrap/>
            <w:vAlign w:val="bottom"/>
            <w:hideMark/>
          </w:tcPr>
          <w:p w14:paraId="1C507EC7"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Reggio nell'Emilia</w:t>
            </w:r>
          </w:p>
        </w:tc>
        <w:tc>
          <w:tcPr>
            <w:tcW w:w="1000" w:type="dxa"/>
            <w:tcBorders>
              <w:top w:val="nil"/>
              <w:left w:val="nil"/>
              <w:bottom w:val="nil"/>
              <w:right w:val="nil"/>
            </w:tcBorders>
            <w:shd w:val="clear" w:color="auto" w:fill="auto"/>
            <w:noWrap/>
            <w:vAlign w:val="bottom"/>
            <w:hideMark/>
          </w:tcPr>
          <w:p w14:paraId="571C4C9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33.238,37</w:t>
            </w:r>
          </w:p>
        </w:tc>
        <w:tc>
          <w:tcPr>
            <w:tcW w:w="1080" w:type="dxa"/>
            <w:tcBorders>
              <w:top w:val="nil"/>
              <w:left w:val="nil"/>
              <w:bottom w:val="nil"/>
              <w:right w:val="single" w:sz="8" w:space="0" w:color="auto"/>
            </w:tcBorders>
            <w:shd w:val="clear" w:color="auto" w:fill="auto"/>
            <w:noWrap/>
            <w:vAlign w:val="bottom"/>
            <w:hideMark/>
          </w:tcPr>
          <w:p w14:paraId="73B334D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3CFE085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65</w:t>
            </w:r>
          </w:p>
        </w:tc>
        <w:tc>
          <w:tcPr>
            <w:tcW w:w="2154" w:type="dxa"/>
            <w:tcBorders>
              <w:top w:val="nil"/>
              <w:left w:val="nil"/>
              <w:bottom w:val="nil"/>
              <w:right w:val="nil"/>
            </w:tcBorders>
            <w:shd w:val="clear" w:color="auto" w:fill="auto"/>
            <w:noWrap/>
            <w:vAlign w:val="bottom"/>
            <w:hideMark/>
          </w:tcPr>
          <w:p w14:paraId="789310AD"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Potenza</w:t>
            </w:r>
          </w:p>
        </w:tc>
        <w:tc>
          <w:tcPr>
            <w:tcW w:w="1000" w:type="dxa"/>
            <w:tcBorders>
              <w:top w:val="nil"/>
              <w:left w:val="nil"/>
              <w:bottom w:val="nil"/>
              <w:right w:val="nil"/>
            </w:tcBorders>
            <w:shd w:val="clear" w:color="auto" w:fill="auto"/>
            <w:noWrap/>
            <w:vAlign w:val="bottom"/>
            <w:hideMark/>
          </w:tcPr>
          <w:p w14:paraId="3CF3AE9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22.764,46</w:t>
            </w:r>
          </w:p>
        </w:tc>
        <w:tc>
          <w:tcPr>
            <w:tcW w:w="1140" w:type="dxa"/>
            <w:tcBorders>
              <w:top w:val="nil"/>
              <w:left w:val="nil"/>
              <w:bottom w:val="nil"/>
              <w:right w:val="single" w:sz="8" w:space="0" w:color="auto"/>
            </w:tcBorders>
            <w:shd w:val="clear" w:color="auto" w:fill="auto"/>
            <w:noWrap/>
            <w:vAlign w:val="bottom"/>
            <w:hideMark/>
          </w:tcPr>
          <w:p w14:paraId="6B7DA68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r>
      <w:tr w:rsidR="00600745" w:rsidRPr="00600745" w14:paraId="470C4AF9"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405D71A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12</w:t>
            </w:r>
          </w:p>
        </w:tc>
        <w:tc>
          <w:tcPr>
            <w:tcW w:w="2324" w:type="dxa"/>
            <w:tcBorders>
              <w:top w:val="nil"/>
              <w:left w:val="nil"/>
              <w:bottom w:val="nil"/>
              <w:right w:val="nil"/>
            </w:tcBorders>
            <w:shd w:val="clear" w:color="auto" w:fill="auto"/>
            <w:noWrap/>
            <w:vAlign w:val="bottom"/>
            <w:hideMark/>
          </w:tcPr>
          <w:p w14:paraId="5BDDE33E"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Trieste</w:t>
            </w:r>
          </w:p>
        </w:tc>
        <w:tc>
          <w:tcPr>
            <w:tcW w:w="1000" w:type="dxa"/>
            <w:tcBorders>
              <w:top w:val="nil"/>
              <w:left w:val="nil"/>
              <w:bottom w:val="nil"/>
              <w:right w:val="nil"/>
            </w:tcBorders>
            <w:shd w:val="clear" w:color="auto" w:fill="auto"/>
            <w:noWrap/>
            <w:vAlign w:val="bottom"/>
            <w:hideMark/>
          </w:tcPr>
          <w:p w14:paraId="6A63979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31.577,43</w:t>
            </w:r>
          </w:p>
        </w:tc>
        <w:tc>
          <w:tcPr>
            <w:tcW w:w="1080" w:type="dxa"/>
            <w:tcBorders>
              <w:top w:val="nil"/>
              <w:left w:val="nil"/>
              <w:bottom w:val="nil"/>
              <w:right w:val="single" w:sz="8" w:space="0" w:color="auto"/>
            </w:tcBorders>
            <w:shd w:val="clear" w:color="auto" w:fill="auto"/>
            <w:noWrap/>
            <w:vAlign w:val="bottom"/>
            <w:hideMark/>
          </w:tcPr>
          <w:p w14:paraId="09BC56E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c>
          <w:tcPr>
            <w:tcW w:w="443" w:type="dxa"/>
            <w:tcBorders>
              <w:top w:val="nil"/>
              <w:left w:val="nil"/>
              <w:bottom w:val="nil"/>
              <w:right w:val="nil"/>
            </w:tcBorders>
            <w:shd w:val="clear" w:color="auto" w:fill="auto"/>
            <w:noWrap/>
            <w:vAlign w:val="bottom"/>
            <w:hideMark/>
          </w:tcPr>
          <w:p w14:paraId="195F835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66</w:t>
            </w:r>
          </w:p>
        </w:tc>
        <w:tc>
          <w:tcPr>
            <w:tcW w:w="2154" w:type="dxa"/>
            <w:tcBorders>
              <w:top w:val="nil"/>
              <w:left w:val="nil"/>
              <w:bottom w:val="nil"/>
              <w:right w:val="nil"/>
            </w:tcBorders>
            <w:shd w:val="clear" w:color="auto" w:fill="auto"/>
            <w:noWrap/>
            <w:vAlign w:val="bottom"/>
            <w:hideMark/>
          </w:tcPr>
          <w:p w14:paraId="003F4248"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Massa-Carrara</w:t>
            </w:r>
          </w:p>
        </w:tc>
        <w:tc>
          <w:tcPr>
            <w:tcW w:w="1000" w:type="dxa"/>
            <w:tcBorders>
              <w:top w:val="nil"/>
              <w:left w:val="nil"/>
              <w:bottom w:val="nil"/>
              <w:right w:val="nil"/>
            </w:tcBorders>
            <w:shd w:val="clear" w:color="auto" w:fill="auto"/>
            <w:noWrap/>
            <w:vAlign w:val="bottom"/>
            <w:hideMark/>
          </w:tcPr>
          <w:p w14:paraId="15DE802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22.567,17</w:t>
            </w:r>
          </w:p>
        </w:tc>
        <w:tc>
          <w:tcPr>
            <w:tcW w:w="1140" w:type="dxa"/>
            <w:tcBorders>
              <w:top w:val="nil"/>
              <w:left w:val="nil"/>
              <w:bottom w:val="nil"/>
              <w:right w:val="single" w:sz="8" w:space="0" w:color="auto"/>
            </w:tcBorders>
            <w:shd w:val="clear" w:color="auto" w:fill="auto"/>
            <w:noWrap/>
            <w:vAlign w:val="bottom"/>
            <w:hideMark/>
          </w:tcPr>
          <w:p w14:paraId="13E804C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w:t>
            </w:r>
          </w:p>
        </w:tc>
      </w:tr>
      <w:tr w:rsidR="00600745" w:rsidRPr="00600745" w14:paraId="5F63338A"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3DA5081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13</w:t>
            </w:r>
          </w:p>
        </w:tc>
        <w:tc>
          <w:tcPr>
            <w:tcW w:w="2324" w:type="dxa"/>
            <w:tcBorders>
              <w:top w:val="nil"/>
              <w:left w:val="nil"/>
              <w:bottom w:val="nil"/>
              <w:right w:val="nil"/>
            </w:tcBorders>
            <w:shd w:val="clear" w:color="auto" w:fill="auto"/>
            <w:noWrap/>
            <w:vAlign w:val="bottom"/>
            <w:hideMark/>
          </w:tcPr>
          <w:p w14:paraId="7F33E092"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Vicenza</w:t>
            </w:r>
          </w:p>
        </w:tc>
        <w:tc>
          <w:tcPr>
            <w:tcW w:w="1000" w:type="dxa"/>
            <w:tcBorders>
              <w:top w:val="nil"/>
              <w:left w:val="nil"/>
              <w:bottom w:val="nil"/>
              <w:right w:val="nil"/>
            </w:tcBorders>
            <w:shd w:val="clear" w:color="auto" w:fill="auto"/>
            <w:noWrap/>
            <w:vAlign w:val="bottom"/>
            <w:hideMark/>
          </w:tcPr>
          <w:p w14:paraId="043B442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31.557,27</w:t>
            </w:r>
          </w:p>
        </w:tc>
        <w:tc>
          <w:tcPr>
            <w:tcW w:w="1080" w:type="dxa"/>
            <w:tcBorders>
              <w:top w:val="nil"/>
              <w:left w:val="nil"/>
              <w:bottom w:val="nil"/>
              <w:right w:val="single" w:sz="8" w:space="0" w:color="auto"/>
            </w:tcBorders>
            <w:shd w:val="clear" w:color="auto" w:fill="auto"/>
            <w:noWrap/>
            <w:vAlign w:val="bottom"/>
            <w:hideMark/>
          </w:tcPr>
          <w:p w14:paraId="70B2D44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17876E0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67</w:t>
            </w:r>
          </w:p>
        </w:tc>
        <w:tc>
          <w:tcPr>
            <w:tcW w:w="2154" w:type="dxa"/>
            <w:tcBorders>
              <w:top w:val="nil"/>
              <w:left w:val="nil"/>
              <w:bottom w:val="nil"/>
              <w:right w:val="nil"/>
            </w:tcBorders>
            <w:shd w:val="clear" w:color="auto" w:fill="auto"/>
            <w:noWrap/>
            <w:vAlign w:val="bottom"/>
            <w:hideMark/>
          </w:tcPr>
          <w:p w14:paraId="4194FDA6"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Pescara</w:t>
            </w:r>
          </w:p>
        </w:tc>
        <w:tc>
          <w:tcPr>
            <w:tcW w:w="1000" w:type="dxa"/>
            <w:tcBorders>
              <w:top w:val="nil"/>
              <w:left w:val="nil"/>
              <w:bottom w:val="nil"/>
              <w:right w:val="nil"/>
            </w:tcBorders>
            <w:shd w:val="clear" w:color="auto" w:fill="auto"/>
            <w:noWrap/>
            <w:vAlign w:val="bottom"/>
            <w:hideMark/>
          </w:tcPr>
          <w:p w14:paraId="0BD3B3D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22.518,68</w:t>
            </w:r>
          </w:p>
        </w:tc>
        <w:tc>
          <w:tcPr>
            <w:tcW w:w="1140" w:type="dxa"/>
            <w:tcBorders>
              <w:top w:val="nil"/>
              <w:left w:val="nil"/>
              <w:bottom w:val="nil"/>
              <w:right w:val="single" w:sz="8" w:space="0" w:color="auto"/>
            </w:tcBorders>
            <w:shd w:val="clear" w:color="auto" w:fill="auto"/>
            <w:noWrap/>
            <w:vAlign w:val="bottom"/>
            <w:hideMark/>
          </w:tcPr>
          <w:p w14:paraId="53A7974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r>
      <w:tr w:rsidR="00600745" w:rsidRPr="00600745" w14:paraId="38DFECC3"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7BBD308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14</w:t>
            </w:r>
          </w:p>
        </w:tc>
        <w:tc>
          <w:tcPr>
            <w:tcW w:w="2324" w:type="dxa"/>
            <w:tcBorders>
              <w:top w:val="nil"/>
              <w:left w:val="nil"/>
              <w:bottom w:val="nil"/>
              <w:right w:val="nil"/>
            </w:tcBorders>
            <w:shd w:val="clear" w:color="auto" w:fill="auto"/>
            <w:noWrap/>
            <w:vAlign w:val="bottom"/>
            <w:hideMark/>
          </w:tcPr>
          <w:p w14:paraId="23FBFE31"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Brescia</w:t>
            </w:r>
          </w:p>
        </w:tc>
        <w:tc>
          <w:tcPr>
            <w:tcW w:w="1000" w:type="dxa"/>
            <w:tcBorders>
              <w:top w:val="nil"/>
              <w:left w:val="nil"/>
              <w:bottom w:val="nil"/>
              <w:right w:val="nil"/>
            </w:tcBorders>
            <w:shd w:val="clear" w:color="auto" w:fill="auto"/>
            <w:noWrap/>
            <w:vAlign w:val="bottom"/>
            <w:hideMark/>
          </w:tcPr>
          <w:p w14:paraId="1553728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31.315,08</w:t>
            </w:r>
          </w:p>
        </w:tc>
        <w:tc>
          <w:tcPr>
            <w:tcW w:w="1080" w:type="dxa"/>
            <w:tcBorders>
              <w:top w:val="nil"/>
              <w:left w:val="nil"/>
              <w:bottom w:val="nil"/>
              <w:right w:val="single" w:sz="8" w:space="0" w:color="auto"/>
            </w:tcBorders>
            <w:shd w:val="clear" w:color="auto" w:fill="auto"/>
            <w:noWrap/>
            <w:vAlign w:val="bottom"/>
            <w:hideMark/>
          </w:tcPr>
          <w:p w14:paraId="3D5E290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6059701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68</w:t>
            </w:r>
          </w:p>
        </w:tc>
        <w:tc>
          <w:tcPr>
            <w:tcW w:w="2154" w:type="dxa"/>
            <w:tcBorders>
              <w:top w:val="nil"/>
              <w:left w:val="nil"/>
              <w:bottom w:val="nil"/>
              <w:right w:val="nil"/>
            </w:tcBorders>
            <w:shd w:val="clear" w:color="auto" w:fill="auto"/>
            <w:noWrap/>
            <w:vAlign w:val="bottom"/>
            <w:hideMark/>
          </w:tcPr>
          <w:p w14:paraId="622D6403"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Fermo</w:t>
            </w:r>
          </w:p>
        </w:tc>
        <w:tc>
          <w:tcPr>
            <w:tcW w:w="1000" w:type="dxa"/>
            <w:tcBorders>
              <w:top w:val="nil"/>
              <w:left w:val="nil"/>
              <w:bottom w:val="nil"/>
              <w:right w:val="nil"/>
            </w:tcBorders>
            <w:shd w:val="clear" w:color="auto" w:fill="auto"/>
            <w:noWrap/>
            <w:vAlign w:val="bottom"/>
            <w:hideMark/>
          </w:tcPr>
          <w:p w14:paraId="0262C28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22.479,94</w:t>
            </w:r>
          </w:p>
        </w:tc>
        <w:tc>
          <w:tcPr>
            <w:tcW w:w="1140" w:type="dxa"/>
            <w:tcBorders>
              <w:top w:val="nil"/>
              <w:left w:val="nil"/>
              <w:bottom w:val="nil"/>
              <w:right w:val="single" w:sz="8" w:space="0" w:color="auto"/>
            </w:tcBorders>
            <w:shd w:val="clear" w:color="auto" w:fill="auto"/>
            <w:noWrap/>
            <w:vAlign w:val="bottom"/>
            <w:hideMark/>
          </w:tcPr>
          <w:p w14:paraId="21CC623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w:t>
            </w:r>
          </w:p>
        </w:tc>
      </w:tr>
      <w:tr w:rsidR="00600745" w:rsidRPr="00600745" w14:paraId="395EBE81"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018AC21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15</w:t>
            </w:r>
          </w:p>
        </w:tc>
        <w:tc>
          <w:tcPr>
            <w:tcW w:w="2324" w:type="dxa"/>
            <w:tcBorders>
              <w:top w:val="nil"/>
              <w:left w:val="nil"/>
              <w:bottom w:val="nil"/>
              <w:right w:val="nil"/>
            </w:tcBorders>
            <w:shd w:val="clear" w:color="auto" w:fill="auto"/>
            <w:noWrap/>
            <w:vAlign w:val="bottom"/>
            <w:hideMark/>
          </w:tcPr>
          <w:p w14:paraId="4344D09C"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Bergamo</w:t>
            </w:r>
          </w:p>
        </w:tc>
        <w:tc>
          <w:tcPr>
            <w:tcW w:w="1000" w:type="dxa"/>
            <w:tcBorders>
              <w:top w:val="nil"/>
              <w:left w:val="nil"/>
              <w:bottom w:val="nil"/>
              <w:right w:val="nil"/>
            </w:tcBorders>
            <w:shd w:val="clear" w:color="auto" w:fill="auto"/>
            <w:noWrap/>
            <w:vAlign w:val="bottom"/>
            <w:hideMark/>
          </w:tcPr>
          <w:p w14:paraId="4203CBD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31.220,56</w:t>
            </w:r>
          </w:p>
        </w:tc>
        <w:tc>
          <w:tcPr>
            <w:tcW w:w="1080" w:type="dxa"/>
            <w:tcBorders>
              <w:top w:val="nil"/>
              <w:left w:val="nil"/>
              <w:bottom w:val="nil"/>
              <w:right w:val="single" w:sz="8" w:space="0" w:color="auto"/>
            </w:tcBorders>
            <w:shd w:val="clear" w:color="auto" w:fill="auto"/>
            <w:noWrap/>
            <w:vAlign w:val="bottom"/>
            <w:hideMark/>
          </w:tcPr>
          <w:p w14:paraId="26B09E6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w:t>
            </w:r>
          </w:p>
        </w:tc>
        <w:tc>
          <w:tcPr>
            <w:tcW w:w="443" w:type="dxa"/>
            <w:tcBorders>
              <w:top w:val="nil"/>
              <w:left w:val="nil"/>
              <w:bottom w:val="nil"/>
              <w:right w:val="nil"/>
            </w:tcBorders>
            <w:shd w:val="clear" w:color="auto" w:fill="auto"/>
            <w:noWrap/>
            <w:vAlign w:val="bottom"/>
            <w:hideMark/>
          </w:tcPr>
          <w:p w14:paraId="60B982F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69</w:t>
            </w:r>
          </w:p>
        </w:tc>
        <w:tc>
          <w:tcPr>
            <w:tcW w:w="2154" w:type="dxa"/>
            <w:tcBorders>
              <w:top w:val="nil"/>
              <w:left w:val="nil"/>
              <w:bottom w:val="nil"/>
              <w:right w:val="nil"/>
            </w:tcBorders>
            <w:shd w:val="clear" w:color="auto" w:fill="auto"/>
            <w:noWrap/>
            <w:vAlign w:val="bottom"/>
            <w:hideMark/>
          </w:tcPr>
          <w:p w14:paraId="47E27514"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Imperia</w:t>
            </w:r>
          </w:p>
        </w:tc>
        <w:tc>
          <w:tcPr>
            <w:tcW w:w="1000" w:type="dxa"/>
            <w:tcBorders>
              <w:top w:val="nil"/>
              <w:left w:val="nil"/>
              <w:bottom w:val="nil"/>
              <w:right w:val="nil"/>
            </w:tcBorders>
            <w:shd w:val="clear" w:color="auto" w:fill="auto"/>
            <w:noWrap/>
            <w:vAlign w:val="bottom"/>
            <w:hideMark/>
          </w:tcPr>
          <w:p w14:paraId="55B26C5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22.299,27</w:t>
            </w:r>
          </w:p>
        </w:tc>
        <w:tc>
          <w:tcPr>
            <w:tcW w:w="1140" w:type="dxa"/>
            <w:tcBorders>
              <w:top w:val="nil"/>
              <w:left w:val="nil"/>
              <w:bottom w:val="nil"/>
              <w:right w:val="single" w:sz="8" w:space="0" w:color="auto"/>
            </w:tcBorders>
            <w:shd w:val="clear" w:color="auto" w:fill="auto"/>
            <w:noWrap/>
            <w:vAlign w:val="bottom"/>
            <w:hideMark/>
          </w:tcPr>
          <w:p w14:paraId="38F2100E"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334A5B88"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02BF376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16</w:t>
            </w:r>
          </w:p>
        </w:tc>
        <w:tc>
          <w:tcPr>
            <w:tcW w:w="2324" w:type="dxa"/>
            <w:tcBorders>
              <w:top w:val="nil"/>
              <w:left w:val="nil"/>
              <w:bottom w:val="nil"/>
              <w:right w:val="nil"/>
            </w:tcBorders>
            <w:shd w:val="clear" w:color="auto" w:fill="auto"/>
            <w:noWrap/>
            <w:vAlign w:val="bottom"/>
            <w:hideMark/>
          </w:tcPr>
          <w:p w14:paraId="7CBD2A67"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Belluno</w:t>
            </w:r>
          </w:p>
        </w:tc>
        <w:tc>
          <w:tcPr>
            <w:tcW w:w="1000" w:type="dxa"/>
            <w:tcBorders>
              <w:top w:val="nil"/>
              <w:left w:val="nil"/>
              <w:bottom w:val="nil"/>
              <w:right w:val="nil"/>
            </w:tcBorders>
            <w:shd w:val="clear" w:color="auto" w:fill="auto"/>
            <w:noWrap/>
            <w:vAlign w:val="bottom"/>
            <w:hideMark/>
          </w:tcPr>
          <w:p w14:paraId="0010B64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31.025,85</w:t>
            </w:r>
          </w:p>
        </w:tc>
        <w:tc>
          <w:tcPr>
            <w:tcW w:w="1080" w:type="dxa"/>
            <w:tcBorders>
              <w:top w:val="nil"/>
              <w:left w:val="nil"/>
              <w:bottom w:val="nil"/>
              <w:right w:val="single" w:sz="8" w:space="0" w:color="auto"/>
            </w:tcBorders>
            <w:shd w:val="clear" w:color="auto" w:fill="auto"/>
            <w:noWrap/>
            <w:vAlign w:val="bottom"/>
            <w:hideMark/>
          </w:tcPr>
          <w:p w14:paraId="1C2D416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w:t>
            </w:r>
          </w:p>
        </w:tc>
        <w:tc>
          <w:tcPr>
            <w:tcW w:w="443" w:type="dxa"/>
            <w:tcBorders>
              <w:top w:val="nil"/>
              <w:left w:val="nil"/>
              <w:bottom w:val="nil"/>
              <w:right w:val="nil"/>
            </w:tcBorders>
            <w:shd w:val="clear" w:color="auto" w:fill="auto"/>
            <w:noWrap/>
            <w:vAlign w:val="bottom"/>
            <w:hideMark/>
          </w:tcPr>
          <w:p w14:paraId="0F33833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70</w:t>
            </w:r>
          </w:p>
        </w:tc>
        <w:tc>
          <w:tcPr>
            <w:tcW w:w="2154" w:type="dxa"/>
            <w:tcBorders>
              <w:top w:val="nil"/>
              <w:left w:val="nil"/>
              <w:bottom w:val="nil"/>
              <w:right w:val="nil"/>
            </w:tcBorders>
            <w:shd w:val="clear" w:color="auto" w:fill="auto"/>
            <w:noWrap/>
            <w:vAlign w:val="bottom"/>
            <w:hideMark/>
          </w:tcPr>
          <w:p w14:paraId="463E6259"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Grosseto</w:t>
            </w:r>
          </w:p>
        </w:tc>
        <w:tc>
          <w:tcPr>
            <w:tcW w:w="1000" w:type="dxa"/>
            <w:tcBorders>
              <w:top w:val="nil"/>
              <w:left w:val="nil"/>
              <w:bottom w:val="nil"/>
              <w:right w:val="nil"/>
            </w:tcBorders>
            <w:shd w:val="clear" w:color="auto" w:fill="auto"/>
            <w:noWrap/>
            <w:vAlign w:val="bottom"/>
            <w:hideMark/>
          </w:tcPr>
          <w:p w14:paraId="624FCA1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22.034,62</w:t>
            </w:r>
          </w:p>
        </w:tc>
        <w:tc>
          <w:tcPr>
            <w:tcW w:w="1140" w:type="dxa"/>
            <w:tcBorders>
              <w:top w:val="nil"/>
              <w:left w:val="nil"/>
              <w:bottom w:val="nil"/>
              <w:right w:val="single" w:sz="8" w:space="0" w:color="auto"/>
            </w:tcBorders>
            <w:shd w:val="clear" w:color="auto" w:fill="auto"/>
            <w:noWrap/>
            <w:vAlign w:val="bottom"/>
            <w:hideMark/>
          </w:tcPr>
          <w:p w14:paraId="2A08EBC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r>
      <w:tr w:rsidR="00600745" w:rsidRPr="00600745" w14:paraId="2A82414D"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46A63E4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17</w:t>
            </w:r>
          </w:p>
        </w:tc>
        <w:tc>
          <w:tcPr>
            <w:tcW w:w="2324" w:type="dxa"/>
            <w:tcBorders>
              <w:top w:val="nil"/>
              <w:left w:val="nil"/>
              <w:bottom w:val="nil"/>
              <w:right w:val="nil"/>
            </w:tcBorders>
            <w:shd w:val="clear" w:color="auto" w:fill="auto"/>
            <w:noWrap/>
            <w:vAlign w:val="bottom"/>
            <w:hideMark/>
          </w:tcPr>
          <w:p w14:paraId="72AF393F"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Padova</w:t>
            </w:r>
          </w:p>
        </w:tc>
        <w:tc>
          <w:tcPr>
            <w:tcW w:w="1000" w:type="dxa"/>
            <w:tcBorders>
              <w:top w:val="nil"/>
              <w:left w:val="nil"/>
              <w:bottom w:val="nil"/>
              <w:right w:val="nil"/>
            </w:tcBorders>
            <w:shd w:val="clear" w:color="auto" w:fill="auto"/>
            <w:noWrap/>
            <w:vAlign w:val="bottom"/>
            <w:hideMark/>
          </w:tcPr>
          <w:p w14:paraId="47342CD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30.681,23</w:t>
            </w:r>
          </w:p>
        </w:tc>
        <w:tc>
          <w:tcPr>
            <w:tcW w:w="1080" w:type="dxa"/>
            <w:tcBorders>
              <w:top w:val="nil"/>
              <w:left w:val="nil"/>
              <w:bottom w:val="nil"/>
              <w:right w:val="single" w:sz="8" w:space="0" w:color="auto"/>
            </w:tcBorders>
            <w:shd w:val="clear" w:color="auto" w:fill="auto"/>
            <w:noWrap/>
            <w:vAlign w:val="bottom"/>
            <w:hideMark/>
          </w:tcPr>
          <w:p w14:paraId="37A8C67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60D289F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71</w:t>
            </w:r>
          </w:p>
        </w:tc>
        <w:tc>
          <w:tcPr>
            <w:tcW w:w="2154" w:type="dxa"/>
            <w:tcBorders>
              <w:top w:val="nil"/>
              <w:left w:val="nil"/>
              <w:bottom w:val="nil"/>
              <w:right w:val="nil"/>
            </w:tcBorders>
            <w:shd w:val="clear" w:color="auto" w:fill="auto"/>
            <w:noWrap/>
            <w:vAlign w:val="bottom"/>
            <w:hideMark/>
          </w:tcPr>
          <w:p w14:paraId="08038E31"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Frosinone</w:t>
            </w:r>
          </w:p>
        </w:tc>
        <w:tc>
          <w:tcPr>
            <w:tcW w:w="1000" w:type="dxa"/>
            <w:tcBorders>
              <w:top w:val="nil"/>
              <w:left w:val="nil"/>
              <w:bottom w:val="nil"/>
              <w:right w:val="nil"/>
            </w:tcBorders>
            <w:shd w:val="clear" w:color="auto" w:fill="auto"/>
            <w:noWrap/>
            <w:vAlign w:val="bottom"/>
            <w:hideMark/>
          </w:tcPr>
          <w:p w14:paraId="0B72AFE4"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21.915,47</w:t>
            </w:r>
          </w:p>
        </w:tc>
        <w:tc>
          <w:tcPr>
            <w:tcW w:w="1140" w:type="dxa"/>
            <w:tcBorders>
              <w:top w:val="nil"/>
              <w:left w:val="nil"/>
              <w:bottom w:val="nil"/>
              <w:right w:val="single" w:sz="8" w:space="0" w:color="auto"/>
            </w:tcBorders>
            <w:shd w:val="clear" w:color="auto" w:fill="auto"/>
            <w:noWrap/>
            <w:vAlign w:val="bottom"/>
            <w:hideMark/>
          </w:tcPr>
          <w:p w14:paraId="49D2793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r>
      <w:tr w:rsidR="00600745" w:rsidRPr="00600745" w14:paraId="2913A87B"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620FF18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18</w:t>
            </w:r>
          </w:p>
        </w:tc>
        <w:tc>
          <w:tcPr>
            <w:tcW w:w="2324" w:type="dxa"/>
            <w:tcBorders>
              <w:top w:val="nil"/>
              <w:left w:val="nil"/>
              <w:bottom w:val="nil"/>
              <w:right w:val="nil"/>
            </w:tcBorders>
            <w:shd w:val="clear" w:color="auto" w:fill="auto"/>
            <w:noWrap/>
            <w:vAlign w:val="bottom"/>
            <w:hideMark/>
          </w:tcPr>
          <w:p w14:paraId="18B1979F"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Treviso</w:t>
            </w:r>
          </w:p>
        </w:tc>
        <w:tc>
          <w:tcPr>
            <w:tcW w:w="1000" w:type="dxa"/>
            <w:tcBorders>
              <w:top w:val="nil"/>
              <w:left w:val="nil"/>
              <w:bottom w:val="nil"/>
              <w:right w:val="nil"/>
            </w:tcBorders>
            <w:shd w:val="clear" w:color="auto" w:fill="auto"/>
            <w:noWrap/>
            <w:vAlign w:val="bottom"/>
            <w:hideMark/>
          </w:tcPr>
          <w:p w14:paraId="70125E7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30.424,74</w:t>
            </w:r>
          </w:p>
        </w:tc>
        <w:tc>
          <w:tcPr>
            <w:tcW w:w="1080" w:type="dxa"/>
            <w:tcBorders>
              <w:top w:val="nil"/>
              <w:left w:val="nil"/>
              <w:bottom w:val="nil"/>
              <w:right w:val="single" w:sz="8" w:space="0" w:color="auto"/>
            </w:tcBorders>
            <w:shd w:val="clear" w:color="auto" w:fill="auto"/>
            <w:noWrap/>
            <w:vAlign w:val="bottom"/>
            <w:hideMark/>
          </w:tcPr>
          <w:p w14:paraId="0BBFD64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c>
          <w:tcPr>
            <w:tcW w:w="443" w:type="dxa"/>
            <w:tcBorders>
              <w:top w:val="nil"/>
              <w:left w:val="nil"/>
              <w:bottom w:val="nil"/>
              <w:right w:val="nil"/>
            </w:tcBorders>
            <w:shd w:val="clear" w:color="auto" w:fill="auto"/>
            <w:noWrap/>
            <w:vAlign w:val="bottom"/>
            <w:hideMark/>
          </w:tcPr>
          <w:p w14:paraId="598D093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72</w:t>
            </w:r>
          </w:p>
        </w:tc>
        <w:tc>
          <w:tcPr>
            <w:tcW w:w="2154" w:type="dxa"/>
            <w:tcBorders>
              <w:top w:val="nil"/>
              <w:left w:val="nil"/>
              <w:bottom w:val="nil"/>
              <w:right w:val="nil"/>
            </w:tcBorders>
            <w:shd w:val="clear" w:color="auto" w:fill="auto"/>
            <w:noWrap/>
            <w:vAlign w:val="bottom"/>
            <w:hideMark/>
          </w:tcPr>
          <w:p w14:paraId="12A824A8"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Teramo</w:t>
            </w:r>
          </w:p>
        </w:tc>
        <w:tc>
          <w:tcPr>
            <w:tcW w:w="1000" w:type="dxa"/>
            <w:tcBorders>
              <w:top w:val="nil"/>
              <w:left w:val="nil"/>
              <w:bottom w:val="nil"/>
              <w:right w:val="nil"/>
            </w:tcBorders>
            <w:shd w:val="clear" w:color="auto" w:fill="auto"/>
            <w:noWrap/>
            <w:vAlign w:val="bottom"/>
            <w:hideMark/>
          </w:tcPr>
          <w:p w14:paraId="5792FD0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21.651,26</w:t>
            </w:r>
          </w:p>
        </w:tc>
        <w:tc>
          <w:tcPr>
            <w:tcW w:w="1140" w:type="dxa"/>
            <w:tcBorders>
              <w:top w:val="nil"/>
              <w:left w:val="nil"/>
              <w:bottom w:val="nil"/>
              <w:right w:val="single" w:sz="8" w:space="0" w:color="auto"/>
            </w:tcBorders>
            <w:shd w:val="clear" w:color="auto" w:fill="auto"/>
            <w:noWrap/>
            <w:vAlign w:val="bottom"/>
            <w:hideMark/>
          </w:tcPr>
          <w:p w14:paraId="3D02A22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r>
      <w:tr w:rsidR="00600745" w:rsidRPr="00600745" w14:paraId="04B92677"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7233494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19</w:t>
            </w:r>
          </w:p>
        </w:tc>
        <w:tc>
          <w:tcPr>
            <w:tcW w:w="2324" w:type="dxa"/>
            <w:tcBorders>
              <w:top w:val="nil"/>
              <w:left w:val="nil"/>
              <w:bottom w:val="nil"/>
              <w:right w:val="nil"/>
            </w:tcBorders>
            <w:shd w:val="clear" w:color="auto" w:fill="auto"/>
            <w:noWrap/>
            <w:vAlign w:val="bottom"/>
            <w:hideMark/>
          </w:tcPr>
          <w:p w14:paraId="348E22E6"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Verona</w:t>
            </w:r>
          </w:p>
        </w:tc>
        <w:tc>
          <w:tcPr>
            <w:tcW w:w="1000" w:type="dxa"/>
            <w:tcBorders>
              <w:top w:val="nil"/>
              <w:left w:val="nil"/>
              <w:bottom w:val="nil"/>
              <w:right w:val="nil"/>
            </w:tcBorders>
            <w:shd w:val="clear" w:color="auto" w:fill="auto"/>
            <w:noWrap/>
            <w:vAlign w:val="bottom"/>
            <w:hideMark/>
          </w:tcPr>
          <w:p w14:paraId="4BDD94C4"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30.264,53</w:t>
            </w:r>
          </w:p>
        </w:tc>
        <w:tc>
          <w:tcPr>
            <w:tcW w:w="1080" w:type="dxa"/>
            <w:tcBorders>
              <w:top w:val="nil"/>
              <w:left w:val="nil"/>
              <w:bottom w:val="nil"/>
              <w:right w:val="single" w:sz="8" w:space="0" w:color="auto"/>
            </w:tcBorders>
            <w:shd w:val="clear" w:color="auto" w:fill="auto"/>
            <w:noWrap/>
            <w:vAlign w:val="bottom"/>
            <w:hideMark/>
          </w:tcPr>
          <w:p w14:paraId="0EA0FA6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c>
          <w:tcPr>
            <w:tcW w:w="443" w:type="dxa"/>
            <w:tcBorders>
              <w:top w:val="nil"/>
              <w:left w:val="nil"/>
              <w:bottom w:val="nil"/>
              <w:right w:val="nil"/>
            </w:tcBorders>
            <w:shd w:val="clear" w:color="auto" w:fill="auto"/>
            <w:noWrap/>
            <w:vAlign w:val="bottom"/>
            <w:hideMark/>
          </w:tcPr>
          <w:p w14:paraId="50B3C53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73</w:t>
            </w:r>
          </w:p>
        </w:tc>
        <w:tc>
          <w:tcPr>
            <w:tcW w:w="2154" w:type="dxa"/>
            <w:tcBorders>
              <w:top w:val="nil"/>
              <w:left w:val="nil"/>
              <w:bottom w:val="nil"/>
              <w:right w:val="nil"/>
            </w:tcBorders>
            <w:shd w:val="clear" w:color="auto" w:fill="auto"/>
            <w:noWrap/>
            <w:vAlign w:val="bottom"/>
            <w:hideMark/>
          </w:tcPr>
          <w:p w14:paraId="1BA0DF57"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Latina</w:t>
            </w:r>
          </w:p>
        </w:tc>
        <w:tc>
          <w:tcPr>
            <w:tcW w:w="1000" w:type="dxa"/>
            <w:tcBorders>
              <w:top w:val="nil"/>
              <w:left w:val="nil"/>
              <w:bottom w:val="nil"/>
              <w:right w:val="nil"/>
            </w:tcBorders>
            <w:shd w:val="clear" w:color="auto" w:fill="auto"/>
            <w:noWrap/>
            <w:vAlign w:val="bottom"/>
            <w:hideMark/>
          </w:tcPr>
          <w:p w14:paraId="05A4CDB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20.959,56</w:t>
            </w:r>
          </w:p>
        </w:tc>
        <w:tc>
          <w:tcPr>
            <w:tcW w:w="1140" w:type="dxa"/>
            <w:tcBorders>
              <w:top w:val="nil"/>
              <w:left w:val="nil"/>
              <w:bottom w:val="nil"/>
              <w:right w:val="single" w:sz="8" w:space="0" w:color="auto"/>
            </w:tcBorders>
            <w:shd w:val="clear" w:color="auto" w:fill="auto"/>
            <w:noWrap/>
            <w:vAlign w:val="bottom"/>
            <w:hideMark/>
          </w:tcPr>
          <w:p w14:paraId="1E74DFC4"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13D7D048"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4E0568E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20</w:t>
            </w:r>
          </w:p>
        </w:tc>
        <w:tc>
          <w:tcPr>
            <w:tcW w:w="2324" w:type="dxa"/>
            <w:tcBorders>
              <w:top w:val="nil"/>
              <w:left w:val="nil"/>
              <w:bottom w:val="nil"/>
              <w:right w:val="nil"/>
            </w:tcBorders>
            <w:shd w:val="clear" w:color="auto" w:fill="auto"/>
            <w:noWrap/>
            <w:vAlign w:val="bottom"/>
            <w:hideMark/>
          </w:tcPr>
          <w:p w14:paraId="4096B000"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Cuneo</w:t>
            </w:r>
          </w:p>
        </w:tc>
        <w:tc>
          <w:tcPr>
            <w:tcW w:w="1000" w:type="dxa"/>
            <w:tcBorders>
              <w:top w:val="nil"/>
              <w:left w:val="nil"/>
              <w:bottom w:val="nil"/>
              <w:right w:val="nil"/>
            </w:tcBorders>
            <w:shd w:val="clear" w:color="auto" w:fill="auto"/>
            <w:noWrap/>
            <w:vAlign w:val="bottom"/>
            <w:hideMark/>
          </w:tcPr>
          <w:p w14:paraId="6FEAC56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30.162,68</w:t>
            </w:r>
          </w:p>
        </w:tc>
        <w:tc>
          <w:tcPr>
            <w:tcW w:w="1080" w:type="dxa"/>
            <w:tcBorders>
              <w:top w:val="nil"/>
              <w:left w:val="nil"/>
              <w:bottom w:val="nil"/>
              <w:right w:val="single" w:sz="8" w:space="0" w:color="auto"/>
            </w:tcBorders>
            <w:shd w:val="clear" w:color="auto" w:fill="auto"/>
            <w:noWrap/>
            <w:vAlign w:val="bottom"/>
            <w:hideMark/>
          </w:tcPr>
          <w:p w14:paraId="1CA4766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c>
          <w:tcPr>
            <w:tcW w:w="443" w:type="dxa"/>
            <w:tcBorders>
              <w:top w:val="nil"/>
              <w:left w:val="nil"/>
              <w:bottom w:val="nil"/>
              <w:right w:val="nil"/>
            </w:tcBorders>
            <w:shd w:val="clear" w:color="auto" w:fill="auto"/>
            <w:noWrap/>
            <w:vAlign w:val="bottom"/>
            <w:hideMark/>
          </w:tcPr>
          <w:p w14:paraId="6C5F5A3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74</w:t>
            </w:r>
          </w:p>
        </w:tc>
        <w:tc>
          <w:tcPr>
            <w:tcW w:w="2154" w:type="dxa"/>
            <w:tcBorders>
              <w:top w:val="nil"/>
              <w:left w:val="nil"/>
              <w:bottom w:val="nil"/>
              <w:right w:val="nil"/>
            </w:tcBorders>
            <w:shd w:val="clear" w:color="auto" w:fill="auto"/>
            <w:noWrap/>
            <w:vAlign w:val="bottom"/>
            <w:hideMark/>
          </w:tcPr>
          <w:p w14:paraId="211488B6"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Bari</w:t>
            </w:r>
          </w:p>
        </w:tc>
        <w:tc>
          <w:tcPr>
            <w:tcW w:w="1000" w:type="dxa"/>
            <w:tcBorders>
              <w:top w:val="nil"/>
              <w:left w:val="nil"/>
              <w:bottom w:val="nil"/>
              <w:right w:val="nil"/>
            </w:tcBorders>
            <w:shd w:val="clear" w:color="auto" w:fill="auto"/>
            <w:noWrap/>
            <w:vAlign w:val="bottom"/>
            <w:hideMark/>
          </w:tcPr>
          <w:p w14:paraId="2BCD5F7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19.927,89</w:t>
            </w:r>
          </w:p>
        </w:tc>
        <w:tc>
          <w:tcPr>
            <w:tcW w:w="1140" w:type="dxa"/>
            <w:tcBorders>
              <w:top w:val="nil"/>
              <w:left w:val="nil"/>
              <w:bottom w:val="nil"/>
              <w:right w:val="single" w:sz="8" w:space="0" w:color="auto"/>
            </w:tcBorders>
            <w:shd w:val="clear" w:color="auto" w:fill="auto"/>
            <w:noWrap/>
            <w:vAlign w:val="bottom"/>
            <w:hideMark/>
          </w:tcPr>
          <w:p w14:paraId="00D55984"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7F336135"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595E1DE4"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21</w:t>
            </w:r>
          </w:p>
        </w:tc>
        <w:tc>
          <w:tcPr>
            <w:tcW w:w="2324" w:type="dxa"/>
            <w:tcBorders>
              <w:top w:val="nil"/>
              <w:left w:val="nil"/>
              <w:bottom w:val="nil"/>
              <w:right w:val="nil"/>
            </w:tcBorders>
            <w:shd w:val="clear" w:color="auto" w:fill="auto"/>
            <w:noWrap/>
            <w:vAlign w:val="bottom"/>
            <w:hideMark/>
          </w:tcPr>
          <w:p w14:paraId="0AADA0F7"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Piacenza</w:t>
            </w:r>
          </w:p>
        </w:tc>
        <w:tc>
          <w:tcPr>
            <w:tcW w:w="1000" w:type="dxa"/>
            <w:tcBorders>
              <w:top w:val="nil"/>
              <w:left w:val="nil"/>
              <w:bottom w:val="nil"/>
              <w:right w:val="nil"/>
            </w:tcBorders>
            <w:shd w:val="clear" w:color="auto" w:fill="auto"/>
            <w:noWrap/>
            <w:vAlign w:val="bottom"/>
            <w:hideMark/>
          </w:tcPr>
          <w:p w14:paraId="4204D98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30.087,39</w:t>
            </w:r>
          </w:p>
        </w:tc>
        <w:tc>
          <w:tcPr>
            <w:tcW w:w="1080" w:type="dxa"/>
            <w:tcBorders>
              <w:top w:val="nil"/>
              <w:left w:val="nil"/>
              <w:bottom w:val="nil"/>
              <w:right w:val="single" w:sz="8" w:space="0" w:color="auto"/>
            </w:tcBorders>
            <w:shd w:val="clear" w:color="auto" w:fill="auto"/>
            <w:noWrap/>
            <w:vAlign w:val="bottom"/>
            <w:hideMark/>
          </w:tcPr>
          <w:p w14:paraId="4F19F9E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c>
          <w:tcPr>
            <w:tcW w:w="443" w:type="dxa"/>
            <w:tcBorders>
              <w:top w:val="nil"/>
              <w:left w:val="nil"/>
              <w:bottom w:val="nil"/>
              <w:right w:val="nil"/>
            </w:tcBorders>
            <w:shd w:val="clear" w:color="auto" w:fill="auto"/>
            <w:noWrap/>
            <w:vAlign w:val="bottom"/>
            <w:hideMark/>
          </w:tcPr>
          <w:p w14:paraId="3295791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75</w:t>
            </w:r>
          </w:p>
        </w:tc>
        <w:tc>
          <w:tcPr>
            <w:tcW w:w="2154" w:type="dxa"/>
            <w:tcBorders>
              <w:top w:val="nil"/>
              <w:left w:val="nil"/>
              <w:bottom w:val="nil"/>
              <w:right w:val="nil"/>
            </w:tcBorders>
            <w:shd w:val="clear" w:color="auto" w:fill="auto"/>
            <w:noWrap/>
            <w:vAlign w:val="bottom"/>
            <w:hideMark/>
          </w:tcPr>
          <w:p w14:paraId="2B538DEC"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Campobasso</w:t>
            </w:r>
          </w:p>
        </w:tc>
        <w:tc>
          <w:tcPr>
            <w:tcW w:w="1000" w:type="dxa"/>
            <w:tcBorders>
              <w:top w:val="nil"/>
              <w:left w:val="nil"/>
              <w:bottom w:val="nil"/>
              <w:right w:val="nil"/>
            </w:tcBorders>
            <w:shd w:val="clear" w:color="auto" w:fill="auto"/>
            <w:noWrap/>
            <w:vAlign w:val="bottom"/>
            <w:hideMark/>
          </w:tcPr>
          <w:p w14:paraId="3F78686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19.721,12</w:t>
            </w:r>
          </w:p>
        </w:tc>
        <w:tc>
          <w:tcPr>
            <w:tcW w:w="1140" w:type="dxa"/>
            <w:tcBorders>
              <w:top w:val="nil"/>
              <w:left w:val="nil"/>
              <w:bottom w:val="nil"/>
              <w:right w:val="single" w:sz="8" w:space="0" w:color="auto"/>
            </w:tcBorders>
            <w:shd w:val="clear" w:color="auto" w:fill="auto"/>
            <w:noWrap/>
            <w:vAlign w:val="bottom"/>
            <w:hideMark/>
          </w:tcPr>
          <w:p w14:paraId="094A372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29385F18"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7125205E"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22</w:t>
            </w:r>
          </w:p>
        </w:tc>
        <w:tc>
          <w:tcPr>
            <w:tcW w:w="2324" w:type="dxa"/>
            <w:tcBorders>
              <w:top w:val="nil"/>
              <w:left w:val="nil"/>
              <w:bottom w:val="nil"/>
              <w:right w:val="nil"/>
            </w:tcBorders>
            <w:shd w:val="clear" w:color="auto" w:fill="auto"/>
            <w:noWrap/>
            <w:vAlign w:val="bottom"/>
            <w:hideMark/>
          </w:tcPr>
          <w:p w14:paraId="3857A891"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Torino</w:t>
            </w:r>
          </w:p>
        </w:tc>
        <w:tc>
          <w:tcPr>
            <w:tcW w:w="1000" w:type="dxa"/>
            <w:tcBorders>
              <w:top w:val="nil"/>
              <w:left w:val="nil"/>
              <w:bottom w:val="nil"/>
              <w:right w:val="nil"/>
            </w:tcBorders>
            <w:shd w:val="clear" w:color="auto" w:fill="auto"/>
            <w:noWrap/>
            <w:vAlign w:val="bottom"/>
            <w:hideMark/>
          </w:tcPr>
          <w:p w14:paraId="15EA843E"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29.881,48</w:t>
            </w:r>
          </w:p>
        </w:tc>
        <w:tc>
          <w:tcPr>
            <w:tcW w:w="1080" w:type="dxa"/>
            <w:tcBorders>
              <w:top w:val="nil"/>
              <w:left w:val="nil"/>
              <w:bottom w:val="nil"/>
              <w:right w:val="single" w:sz="8" w:space="0" w:color="auto"/>
            </w:tcBorders>
            <w:shd w:val="clear" w:color="auto" w:fill="auto"/>
            <w:noWrap/>
            <w:vAlign w:val="bottom"/>
            <w:hideMark/>
          </w:tcPr>
          <w:p w14:paraId="60DFEF8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09F4DFF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76</w:t>
            </w:r>
          </w:p>
        </w:tc>
        <w:tc>
          <w:tcPr>
            <w:tcW w:w="2154" w:type="dxa"/>
            <w:tcBorders>
              <w:top w:val="nil"/>
              <w:left w:val="nil"/>
              <w:bottom w:val="nil"/>
              <w:right w:val="nil"/>
            </w:tcBorders>
            <w:shd w:val="clear" w:color="auto" w:fill="auto"/>
            <w:noWrap/>
            <w:vAlign w:val="bottom"/>
            <w:hideMark/>
          </w:tcPr>
          <w:p w14:paraId="123FE87C"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Viterbo</w:t>
            </w:r>
          </w:p>
        </w:tc>
        <w:tc>
          <w:tcPr>
            <w:tcW w:w="1000" w:type="dxa"/>
            <w:tcBorders>
              <w:top w:val="nil"/>
              <w:left w:val="nil"/>
              <w:bottom w:val="nil"/>
              <w:right w:val="nil"/>
            </w:tcBorders>
            <w:shd w:val="clear" w:color="auto" w:fill="auto"/>
            <w:noWrap/>
            <w:vAlign w:val="bottom"/>
            <w:hideMark/>
          </w:tcPr>
          <w:p w14:paraId="38C69EE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19.579,37</w:t>
            </w:r>
          </w:p>
        </w:tc>
        <w:tc>
          <w:tcPr>
            <w:tcW w:w="1140" w:type="dxa"/>
            <w:tcBorders>
              <w:top w:val="nil"/>
              <w:left w:val="nil"/>
              <w:bottom w:val="nil"/>
              <w:right w:val="single" w:sz="8" w:space="0" w:color="auto"/>
            </w:tcBorders>
            <w:shd w:val="clear" w:color="auto" w:fill="auto"/>
            <w:noWrap/>
            <w:vAlign w:val="bottom"/>
            <w:hideMark/>
          </w:tcPr>
          <w:p w14:paraId="36CB1D8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0A4FE5AA"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72A4E52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23</w:t>
            </w:r>
          </w:p>
        </w:tc>
        <w:tc>
          <w:tcPr>
            <w:tcW w:w="2324" w:type="dxa"/>
            <w:tcBorders>
              <w:top w:val="nil"/>
              <w:left w:val="nil"/>
              <w:bottom w:val="nil"/>
              <w:right w:val="nil"/>
            </w:tcBorders>
            <w:shd w:val="clear" w:color="auto" w:fill="auto"/>
            <w:noWrap/>
            <w:vAlign w:val="bottom"/>
            <w:hideMark/>
          </w:tcPr>
          <w:p w14:paraId="3AF7BCF2"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Forlì-Cesena</w:t>
            </w:r>
          </w:p>
        </w:tc>
        <w:tc>
          <w:tcPr>
            <w:tcW w:w="1000" w:type="dxa"/>
            <w:tcBorders>
              <w:top w:val="nil"/>
              <w:left w:val="nil"/>
              <w:bottom w:val="nil"/>
              <w:right w:val="nil"/>
            </w:tcBorders>
            <w:shd w:val="clear" w:color="auto" w:fill="auto"/>
            <w:noWrap/>
            <w:vAlign w:val="bottom"/>
            <w:hideMark/>
          </w:tcPr>
          <w:p w14:paraId="4D18572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29.653,94</w:t>
            </w:r>
          </w:p>
        </w:tc>
        <w:tc>
          <w:tcPr>
            <w:tcW w:w="1080" w:type="dxa"/>
            <w:tcBorders>
              <w:top w:val="nil"/>
              <w:left w:val="nil"/>
              <w:bottom w:val="nil"/>
              <w:right w:val="single" w:sz="8" w:space="0" w:color="auto"/>
            </w:tcBorders>
            <w:shd w:val="clear" w:color="auto" w:fill="auto"/>
            <w:noWrap/>
            <w:vAlign w:val="bottom"/>
            <w:hideMark/>
          </w:tcPr>
          <w:p w14:paraId="39D502D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c>
          <w:tcPr>
            <w:tcW w:w="443" w:type="dxa"/>
            <w:tcBorders>
              <w:top w:val="nil"/>
              <w:left w:val="nil"/>
              <w:bottom w:val="nil"/>
              <w:right w:val="nil"/>
            </w:tcBorders>
            <w:shd w:val="clear" w:color="auto" w:fill="auto"/>
            <w:noWrap/>
            <w:vAlign w:val="bottom"/>
            <w:hideMark/>
          </w:tcPr>
          <w:p w14:paraId="3BDB7D8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77</w:t>
            </w:r>
          </w:p>
        </w:tc>
        <w:tc>
          <w:tcPr>
            <w:tcW w:w="2154" w:type="dxa"/>
            <w:tcBorders>
              <w:top w:val="nil"/>
              <w:left w:val="nil"/>
              <w:bottom w:val="nil"/>
              <w:right w:val="nil"/>
            </w:tcBorders>
            <w:shd w:val="clear" w:color="auto" w:fill="auto"/>
            <w:noWrap/>
            <w:vAlign w:val="bottom"/>
            <w:hideMark/>
          </w:tcPr>
          <w:p w14:paraId="6E6B6215"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Sassari</w:t>
            </w:r>
          </w:p>
        </w:tc>
        <w:tc>
          <w:tcPr>
            <w:tcW w:w="1000" w:type="dxa"/>
            <w:tcBorders>
              <w:top w:val="nil"/>
              <w:left w:val="nil"/>
              <w:bottom w:val="nil"/>
              <w:right w:val="nil"/>
            </w:tcBorders>
            <w:shd w:val="clear" w:color="auto" w:fill="auto"/>
            <w:noWrap/>
            <w:vAlign w:val="bottom"/>
            <w:hideMark/>
          </w:tcPr>
          <w:p w14:paraId="289EA8C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19.349,59</w:t>
            </w:r>
          </w:p>
        </w:tc>
        <w:tc>
          <w:tcPr>
            <w:tcW w:w="1140" w:type="dxa"/>
            <w:tcBorders>
              <w:top w:val="nil"/>
              <w:left w:val="nil"/>
              <w:bottom w:val="nil"/>
              <w:right w:val="single" w:sz="8" w:space="0" w:color="auto"/>
            </w:tcBorders>
            <w:shd w:val="clear" w:color="auto" w:fill="auto"/>
            <w:noWrap/>
            <w:vAlign w:val="bottom"/>
            <w:hideMark/>
          </w:tcPr>
          <w:p w14:paraId="69BCC7F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74A83E29"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362A4E3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24</w:t>
            </w:r>
          </w:p>
        </w:tc>
        <w:tc>
          <w:tcPr>
            <w:tcW w:w="2324" w:type="dxa"/>
            <w:tcBorders>
              <w:top w:val="nil"/>
              <w:left w:val="nil"/>
              <w:bottom w:val="nil"/>
              <w:right w:val="nil"/>
            </w:tcBorders>
            <w:shd w:val="clear" w:color="auto" w:fill="auto"/>
            <w:noWrap/>
            <w:vAlign w:val="bottom"/>
            <w:hideMark/>
          </w:tcPr>
          <w:p w14:paraId="1006D126"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Cremona</w:t>
            </w:r>
          </w:p>
        </w:tc>
        <w:tc>
          <w:tcPr>
            <w:tcW w:w="1000" w:type="dxa"/>
            <w:tcBorders>
              <w:top w:val="nil"/>
              <w:left w:val="nil"/>
              <w:bottom w:val="nil"/>
              <w:right w:val="nil"/>
            </w:tcBorders>
            <w:shd w:val="clear" w:color="auto" w:fill="auto"/>
            <w:noWrap/>
            <w:vAlign w:val="bottom"/>
            <w:hideMark/>
          </w:tcPr>
          <w:p w14:paraId="7092516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29.262,18</w:t>
            </w:r>
          </w:p>
        </w:tc>
        <w:tc>
          <w:tcPr>
            <w:tcW w:w="1080" w:type="dxa"/>
            <w:tcBorders>
              <w:top w:val="nil"/>
              <w:left w:val="nil"/>
              <w:bottom w:val="nil"/>
              <w:right w:val="single" w:sz="8" w:space="0" w:color="auto"/>
            </w:tcBorders>
            <w:shd w:val="clear" w:color="auto" w:fill="auto"/>
            <w:noWrap/>
            <w:vAlign w:val="bottom"/>
            <w:hideMark/>
          </w:tcPr>
          <w:p w14:paraId="3848E76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w:t>
            </w:r>
          </w:p>
        </w:tc>
        <w:tc>
          <w:tcPr>
            <w:tcW w:w="443" w:type="dxa"/>
            <w:tcBorders>
              <w:top w:val="nil"/>
              <w:left w:val="nil"/>
              <w:bottom w:val="nil"/>
              <w:right w:val="nil"/>
            </w:tcBorders>
            <w:shd w:val="clear" w:color="auto" w:fill="auto"/>
            <w:noWrap/>
            <w:vAlign w:val="bottom"/>
            <w:hideMark/>
          </w:tcPr>
          <w:p w14:paraId="5FE158DE"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78</w:t>
            </w:r>
          </w:p>
        </w:tc>
        <w:tc>
          <w:tcPr>
            <w:tcW w:w="2154" w:type="dxa"/>
            <w:tcBorders>
              <w:top w:val="nil"/>
              <w:left w:val="nil"/>
              <w:bottom w:val="nil"/>
              <w:right w:val="nil"/>
            </w:tcBorders>
            <w:shd w:val="clear" w:color="auto" w:fill="auto"/>
            <w:noWrap/>
            <w:vAlign w:val="bottom"/>
            <w:hideMark/>
          </w:tcPr>
          <w:p w14:paraId="631B1450"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Isernia</w:t>
            </w:r>
          </w:p>
        </w:tc>
        <w:tc>
          <w:tcPr>
            <w:tcW w:w="1000" w:type="dxa"/>
            <w:tcBorders>
              <w:top w:val="nil"/>
              <w:left w:val="nil"/>
              <w:bottom w:val="nil"/>
              <w:right w:val="nil"/>
            </w:tcBorders>
            <w:shd w:val="clear" w:color="auto" w:fill="auto"/>
            <w:noWrap/>
            <w:vAlign w:val="bottom"/>
            <w:hideMark/>
          </w:tcPr>
          <w:p w14:paraId="20E72ED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18.757,57</w:t>
            </w:r>
          </w:p>
        </w:tc>
        <w:tc>
          <w:tcPr>
            <w:tcW w:w="1140" w:type="dxa"/>
            <w:tcBorders>
              <w:top w:val="nil"/>
              <w:left w:val="nil"/>
              <w:bottom w:val="nil"/>
              <w:right w:val="single" w:sz="8" w:space="0" w:color="auto"/>
            </w:tcBorders>
            <w:shd w:val="clear" w:color="auto" w:fill="auto"/>
            <w:noWrap/>
            <w:vAlign w:val="bottom"/>
            <w:hideMark/>
          </w:tcPr>
          <w:p w14:paraId="5FFC7F3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4789D456"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7565900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25</w:t>
            </w:r>
          </w:p>
        </w:tc>
        <w:tc>
          <w:tcPr>
            <w:tcW w:w="2324" w:type="dxa"/>
            <w:tcBorders>
              <w:top w:val="nil"/>
              <w:left w:val="nil"/>
              <w:bottom w:val="nil"/>
              <w:right w:val="nil"/>
            </w:tcBorders>
            <w:shd w:val="clear" w:color="auto" w:fill="auto"/>
            <w:noWrap/>
            <w:vAlign w:val="bottom"/>
            <w:hideMark/>
          </w:tcPr>
          <w:p w14:paraId="5453FE97"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Venezia</w:t>
            </w:r>
          </w:p>
        </w:tc>
        <w:tc>
          <w:tcPr>
            <w:tcW w:w="1000" w:type="dxa"/>
            <w:tcBorders>
              <w:top w:val="nil"/>
              <w:left w:val="nil"/>
              <w:bottom w:val="nil"/>
              <w:right w:val="nil"/>
            </w:tcBorders>
            <w:shd w:val="clear" w:color="auto" w:fill="auto"/>
            <w:noWrap/>
            <w:vAlign w:val="bottom"/>
            <w:hideMark/>
          </w:tcPr>
          <w:p w14:paraId="355AC5C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29.042,91</w:t>
            </w:r>
          </w:p>
        </w:tc>
        <w:tc>
          <w:tcPr>
            <w:tcW w:w="1080" w:type="dxa"/>
            <w:tcBorders>
              <w:top w:val="nil"/>
              <w:left w:val="nil"/>
              <w:bottom w:val="nil"/>
              <w:right w:val="single" w:sz="8" w:space="0" w:color="auto"/>
            </w:tcBorders>
            <w:shd w:val="clear" w:color="auto" w:fill="auto"/>
            <w:noWrap/>
            <w:vAlign w:val="bottom"/>
            <w:hideMark/>
          </w:tcPr>
          <w:p w14:paraId="7662B58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43DB633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79</w:t>
            </w:r>
          </w:p>
        </w:tc>
        <w:tc>
          <w:tcPr>
            <w:tcW w:w="2154" w:type="dxa"/>
            <w:tcBorders>
              <w:top w:val="nil"/>
              <w:left w:val="nil"/>
              <w:bottom w:val="nil"/>
              <w:right w:val="nil"/>
            </w:tcBorders>
            <w:shd w:val="clear" w:color="auto" w:fill="auto"/>
            <w:noWrap/>
            <w:vAlign w:val="bottom"/>
            <w:hideMark/>
          </w:tcPr>
          <w:p w14:paraId="52795CF0"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Napoli</w:t>
            </w:r>
          </w:p>
        </w:tc>
        <w:tc>
          <w:tcPr>
            <w:tcW w:w="1000" w:type="dxa"/>
            <w:tcBorders>
              <w:top w:val="nil"/>
              <w:left w:val="nil"/>
              <w:bottom w:val="nil"/>
              <w:right w:val="nil"/>
            </w:tcBorders>
            <w:shd w:val="clear" w:color="auto" w:fill="auto"/>
            <w:noWrap/>
            <w:vAlign w:val="bottom"/>
            <w:hideMark/>
          </w:tcPr>
          <w:p w14:paraId="14EF52F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18.743,98</w:t>
            </w:r>
          </w:p>
        </w:tc>
        <w:tc>
          <w:tcPr>
            <w:tcW w:w="1140" w:type="dxa"/>
            <w:tcBorders>
              <w:top w:val="nil"/>
              <w:left w:val="nil"/>
              <w:bottom w:val="nil"/>
              <w:right w:val="single" w:sz="8" w:space="0" w:color="auto"/>
            </w:tcBorders>
            <w:shd w:val="clear" w:color="auto" w:fill="auto"/>
            <w:noWrap/>
            <w:vAlign w:val="bottom"/>
            <w:hideMark/>
          </w:tcPr>
          <w:p w14:paraId="3C4F415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r>
      <w:tr w:rsidR="00600745" w:rsidRPr="00600745" w14:paraId="563B0C79"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0DA3B02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26</w:t>
            </w:r>
          </w:p>
        </w:tc>
        <w:tc>
          <w:tcPr>
            <w:tcW w:w="2324" w:type="dxa"/>
            <w:tcBorders>
              <w:top w:val="nil"/>
              <w:left w:val="nil"/>
              <w:bottom w:val="nil"/>
              <w:right w:val="nil"/>
            </w:tcBorders>
            <w:shd w:val="clear" w:color="auto" w:fill="auto"/>
            <w:noWrap/>
            <w:vAlign w:val="bottom"/>
            <w:hideMark/>
          </w:tcPr>
          <w:p w14:paraId="5BA97187"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Pisa</w:t>
            </w:r>
          </w:p>
        </w:tc>
        <w:tc>
          <w:tcPr>
            <w:tcW w:w="1000" w:type="dxa"/>
            <w:tcBorders>
              <w:top w:val="nil"/>
              <w:left w:val="nil"/>
              <w:bottom w:val="nil"/>
              <w:right w:val="nil"/>
            </w:tcBorders>
            <w:shd w:val="clear" w:color="auto" w:fill="auto"/>
            <w:noWrap/>
            <w:vAlign w:val="bottom"/>
            <w:hideMark/>
          </w:tcPr>
          <w:p w14:paraId="0E752C1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28.796,64</w:t>
            </w:r>
          </w:p>
        </w:tc>
        <w:tc>
          <w:tcPr>
            <w:tcW w:w="1080" w:type="dxa"/>
            <w:tcBorders>
              <w:top w:val="nil"/>
              <w:left w:val="nil"/>
              <w:bottom w:val="nil"/>
              <w:right w:val="single" w:sz="8" w:space="0" w:color="auto"/>
            </w:tcBorders>
            <w:shd w:val="clear" w:color="auto" w:fill="auto"/>
            <w:noWrap/>
            <w:vAlign w:val="bottom"/>
            <w:hideMark/>
          </w:tcPr>
          <w:p w14:paraId="40289B2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70D6427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80</w:t>
            </w:r>
          </w:p>
        </w:tc>
        <w:tc>
          <w:tcPr>
            <w:tcW w:w="2154" w:type="dxa"/>
            <w:tcBorders>
              <w:top w:val="nil"/>
              <w:left w:val="nil"/>
              <w:bottom w:val="nil"/>
              <w:right w:val="nil"/>
            </w:tcBorders>
            <w:shd w:val="clear" w:color="auto" w:fill="auto"/>
            <w:noWrap/>
            <w:vAlign w:val="bottom"/>
            <w:hideMark/>
          </w:tcPr>
          <w:p w14:paraId="66C01097"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Catanzaro</w:t>
            </w:r>
          </w:p>
        </w:tc>
        <w:tc>
          <w:tcPr>
            <w:tcW w:w="1000" w:type="dxa"/>
            <w:tcBorders>
              <w:top w:val="nil"/>
              <w:left w:val="nil"/>
              <w:bottom w:val="nil"/>
              <w:right w:val="nil"/>
            </w:tcBorders>
            <w:shd w:val="clear" w:color="auto" w:fill="auto"/>
            <w:noWrap/>
            <w:vAlign w:val="bottom"/>
            <w:hideMark/>
          </w:tcPr>
          <w:p w14:paraId="7149506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18.517,55</w:t>
            </w:r>
          </w:p>
        </w:tc>
        <w:tc>
          <w:tcPr>
            <w:tcW w:w="1140" w:type="dxa"/>
            <w:tcBorders>
              <w:top w:val="nil"/>
              <w:left w:val="nil"/>
              <w:bottom w:val="nil"/>
              <w:right w:val="single" w:sz="8" w:space="0" w:color="auto"/>
            </w:tcBorders>
            <w:shd w:val="clear" w:color="auto" w:fill="auto"/>
            <w:noWrap/>
            <w:vAlign w:val="bottom"/>
            <w:hideMark/>
          </w:tcPr>
          <w:p w14:paraId="249DD68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r>
      <w:tr w:rsidR="00600745" w:rsidRPr="00600745" w14:paraId="5E7BDC08"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325A503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27</w:t>
            </w:r>
          </w:p>
        </w:tc>
        <w:tc>
          <w:tcPr>
            <w:tcW w:w="2324" w:type="dxa"/>
            <w:tcBorders>
              <w:top w:val="nil"/>
              <w:left w:val="nil"/>
              <w:bottom w:val="nil"/>
              <w:right w:val="nil"/>
            </w:tcBorders>
            <w:shd w:val="clear" w:color="auto" w:fill="auto"/>
            <w:noWrap/>
            <w:vAlign w:val="bottom"/>
            <w:hideMark/>
          </w:tcPr>
          <w:p w14:paraId="4DC4ABD8"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Lecco</w:t>
            </w:r>
          </w:p>
        </w:tc>
        <w:tc>
          <w:tcPr>
            <w:tcW w:w="1000" w:type="dxa"/>
            <w:tcBorders>
              <w:top w:val="nil"/>
              <w:left w:val="nil"/>
              <w:bottom w:val="nil"/>
              <w:right w:val="nil"/>
            </w:tcBorders>
            <w:shd w:val="clear" w:color="auto" w:fill="auto"/>
            <w:noWrap/>
            <w:vAlign w:val="bottom"/>
            <w:hideMark/>
          </w:tcPr>
          <w:p w14:paraId="0D01511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28.781,22</w:t>
            </w:r>
          </w:p>
        </w:tc>
        <w:tc>
          <w:tcPr>
            <w:tcW w:w="1080" w:type="dxa"/>
            <w:tcBorders>
              <w:top w:val="nil"/>
              <w:left w:val="nil"/>
              <w:bottom w:val="nil"/>
              <w:right w:val="single" w:sz="8" w:space="0" w:color="auto"/>
            </w:tcBorders>
            <w:shd w:val="clear" w:color="auto" w:fill="auto"/>
            <w:noWrap/>
            <w:vAlign w:val="bottom"/>
            <w:hideMark/>
          </w:tcPr>
          <w:p w14:paraId="0690AE1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w:t>
            </w:r>
          </w:p>
        </w:tc>
        <w:tc>
          <w:tcPr>
            <w:tcW w:w="443" w:type="dxa"/>
            <w:tcBorders>
              <w:top w:val="nil"/>
              <w:left w:val="nil"/>
              <w:bottom w:val="nil"/>
              <w:right w:val="nil"/>
            </w:tcBorders>
            <w:shd w:val="clear" w:color="auto" w:fill="auto"/>
            <w:noWrap/>
            <w:vAlign w:val="bottom"/>
            <w:hideMark/>
          </w:tcPr>
          <w:p w14:paraId="777417F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81</w:t>
            </w:r>
          </w:p>
        </w:tc>
        <w:tc>
          <w:tcPr>
            <w:tcW w:w="2154" w:type="dxa"/>
            <w:tcBorders>
              <w:top w:val="nil"/>
              <w:left w:val="nil"/>
              <w:bottom w:val="nil"/>
              <w:right w:val="nil"/>
            </w:tcBorders>
            <w:shd w:val="clear" w:color="auto" w:fill="auto"/>
            <w:noWrap/>
            <w:vAlign w:val="bottom"/>
            <w:hideMark/>
          </w:tcPr>
          <w:p w14:paraId="3BC8A750"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Rieti</w:t>
            </w:r>
          </w:p>
        </w:tc>
        <w:tc>
          <w:tcPr>
            <w:tcW w:w="1000" w:type="dxa"/>
            <w:tcBorders>
              <w:top w:val="nil"/>
              <w:left w:val="nil"/>
              <w:bottom w:val="nil"/>
              <w:right w:val="nil"/>
            </w:tcBorders>
            <w:shd w:val="clear" w:color="auto" w:fill="auto"/>
            <w:noWrap/>
            <w:vAlign w:val="bottom"/>
            <w:hideMark/>
          </w:tcPr>
          <w:p w14:paraId="1BC78BA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18.277,98</w:t>
            </w:r>
          </w:p>
        </w:tc>
        <w:tc>
          <w:tcPr>
            <w:tcW w:w="1140" w:type="dxa"/>
            <w:tcBorders>
              <w:top w:val="nil"/>
              <w:left w:val="nil"/>
              <w:bottom w:val="nil"/>
              <w:right w:val="single" w:sz="8" w:space="0" w:color="auto"/>
            </w:tcBorders>
            <w:shd w:val="clear" w:color="auto" w:fill="auto"/>
            <w:noWrap/>
            <w:vAlign w:val="bottom"/>
            <w:hideMark/>
          </w:tcPr>
          <w:p w14:paraId="5144FBC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5EF819FB"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50B4F77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28</w:t>
            </w:r>
          </w:p>
        </w:tc>
        <w:tc>
          <w:tcPr>
            <w:tcW w:w="2324" w:type="dxa"/>
            <w:tcBorders>
              <w:top w:val="nil"/>
              <w:left w:val="nil"/>
              <w:bottom w:val="nil"/>
              <w:right w:val="nil"/>
            </w:tcBorders>
            <w:shd w:val="clear" w:color="auto" w:fill="auto"/>
            <w:noWrap/>
            <w:vAlign w:val="bottom"/>
            <w:hideMark/>
          </w:tcPr>
          <w:p w14:paraId="4986AB42"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Ravenna</w:t>
            </w:r>
          </w:p>
        </w:tc>
        <w:tc>
          <w:tcPr>
            <w:tcW w:w="1000" w:type="dxa"/>
            <w:tcBorders>
              <w:top w:val="nil"/>
              <w:left w:val="nil"/>
              <w:bottom w:val="nil"/>
              <w:right w:val="nil"/>
            </w:tcBorders>
            <w:shd w:val="clear" w:color="auto" w:fill="auto"/>
            <w:noWrap/>
            <w:vAlign w:val="bottom"/>
            <w:hideMark/>
          </w:tcPr>
          <w:p w14:paraId="4E64D5B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28.767,48</w:t>
            </w:r>
          </w:p>
        </w:tc>
        <w:tc>
          <w:tcPr>
            <w:tcW w:w="1080" w:type="dxa"/>
            <w:tcBorders>
              <w:top w:val="nil"/>
              <w:left w:val="nil"/>
              <w:bottom w:val="nil"/>
              <w:right w:val="single" w:sz="8" w:space="0" w:color="auto"/>
            </w:tcBorders>
            <w:shd w:val="clear" w:color="auto" w:fill="auto"/>
            <w:noWrap/>
            <w:vAlign w:val="bottom"/>
            <w:hideMark/>
          </w:tcPr>
          <w:p w14:paraId="0D66FBE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c>
          <w:tcPr>
            <w:tcW w:w="443" w:type="dxa"/>
            <w:tcBorders>
              <w:top w:val="nil"/>
              <w:left w:val="nil"/>
              <w:bottom w:val="nil"/>
              <w:right w:val="nil"/>
            </w:tcBorders>
            <w:shd w:val="clear" w:color="auto" w:fill="auto"/>
            <w:noWrap/>
            <w:vAlign w:val="bottom"/>
            <w:hideMark/>
          </w:tcPr>
          <w:p w14:paraId="42D9EE5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82</w:t>
            </w:r>
          </w:p>
        </w:tc>
        <w:tc>
          <w:tcPr>
            <w:tcW w:w="2154" w:type="dxa"/>
            <w:tcBorders>
              <w:top w:val="nil"/>
              <w:left w:val="nil"/>
              <w:bottom w:val="nil"/>
              <w:right w:val="nil"/>
            </w:tcBorders>
            <w:shd w:val="clear" w:color="auto" w:fill="auto"/>
            <w:noWrap/>
            <w:vAlign w:val="bottom"/>
            <w:hideMark/>
          </w:tcPr>
          <w:p w14:paraId="3D9A106B"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Matera</w:t>
            </w:r>
          </w:p>
        </w:tc>
        <w:tc>
          <w:tcPr>
            <w:tcW w:w="1000" w:type="dxa"/>
            <w:tcBorders>
              <w:top w:val="nil"/>
              <w:left w:val="nil"/>
              <w:bottom w:val="nil"/>
              <w:right w:val="nil"/>
            </w:tcBorders>
            <w:shd w:val="clear" w:color="auto" w:fill="auto"/>
            <w:noWrap/>
            <w:vAlign w:val="bottom"/>
            <w:hideMark/>
          </w:tcPr>
          <w:p w14:paraId="5A74C04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18.028,67</w:t>
            </w:r>
          </w:p>
        </w:tc>
        <w:tc>
          <w:tcPr>
            <w:tcW w:w="1140" w:type="dxa"/>
            <w:tcBorders>
              <w:top w:val="nil"/>
              <w:left w:val="nil"/>
              <w:bottom w:val="nil"/>
              <w:right w:val="single" w:sz="8" w:space="0" w:color="auto"/>
            </w:tcBorders>
            <w:shd w:val="clear" w:color="auto" w:fill="auto"/>
            <w:noWrap/>
            <w:vAlign w:val="bottom"/>
            <w:hideMark/>
          </w:tcPr>
          <w:p w14:paraId="4C010A6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5FA48814"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6F099DD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29</w:t>
            </w:r>
          </w:p>
        </w:tc>
        <w:tc>
          <w:tcPr>
            <w:tcW w:w="2324" w:type="dxa"/>
            <w:tcBorders>
              <w:top w:val="nil"/>
              <w:left w:val="nil"/>
              <w:bottom w:val="nil"/>
              <w:right w:val="nil"/>
            </w:tcBorders>
            <w:shd w:val="clear" w:color="auto" w:fill="auto"/>
            <w:noWrap/>
            <w:vAlign w:val="bottom"/>
            <w:hideMark/>
          </w:tcPr>
          <w:p w14:paraId="5EF9B512"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Mantova</w:t>
            </w:r>
          </w:p>
        </w:tc>
        <w:tc>
          <w:tcPr>
            <w:tcW w:w="1000" w:type="dxa"/>
            <w:tcBorders>
              <w:top w:val="nil"/>
              <w:left w:val="nil"/>
              <w:bottom w:val="nil"/>
              <w:right w:val="nil"/>
            </w:tcBorders>
            <w:shd w:val="clear" w:color="auto" w:fill="auto"/>
            <w:noWrap/>
            <w:vAlign w:val="bottom"/>
            <w:hideMark/>
          </w:tcPr>
          <w:p w14:paraId="2CA45D9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28.720,22</w:t>
            </w:r>
          </w:p>
        </w:tc>
        <w:tc>
          <w:tcPr>
            <w:tcW w:w="1080" w:type="dxa"/>
            <w:tcBorders>
              <w:top w:val="nil"/>
              <w:left w:val="nil"/>
              <w:bottom w:val="nil"/>
              <w:right w:val="single" w:sz="8" w:space="0" w:color="auto"/>
            </w:tcBorders>
            <w:shd w:val="clear" w:color="auto" w:fill="auto"/>
            <w:noWrap/>
            <w:vAlign w:val="bottom"/>
            <w:hideMark/>
          </w:tcPr>
          <w:p w14:paraId="38A637F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c>
          <w:tcPr>
            <w:tcW w:w="443" w:type="dxa"/>
            <w:tcBorders>
              <w:top w:val="nil"/>
              <w:left w:val="nil"/>
              <w:bottom w:val="nil"/>
              <w:right w:val="nil"/>
            </w:tcBorders>
            <w:shd w:val="clear" w:color="auto" w:fill="auto"/>
            <w:noWrap/>
            <w:vAlign w:val="bottom"/>
            <w:hideMark/>
          </w:tcPr>
          <w:p w14:paraId="5BBE436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83</w:t>
            </w:r>
          </w:p>
        </w:tc>
        <w:tc>
          <w:tcPr>
            <w:tcW w:w="2154" w:type="dxa"/>
            <w:tcBorders>
              <w:top w:val="nil"/>
              <w:left w:val="nil"/>
              <w:bottom w:val="nil"/>
              <w:right w:val="nil"/>
            </w:tcBorders>
            <w:shd w:val="clear" w:color="auto" w:fill="auto"/>
            <w:noWrap/>
            <w:vAlign w:val="bottom"/>
            <w:hideMark/>
          </w:tcPr>
          <w:p w14:paraId="2D2D324B"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Salerno</w:t>
            </w:r>
          </w:p>
        </w:tc>
        <w:tc>
          <w:tcPr>
            <w:tcW w:w="1000" w:type="dxa"/>
            <w:tcBorders>
              <w:top w:val="nil"/>
              <w:left w:val="nil"/>
              <w:bottom w:val="nil"/>
              <w:right w:val="nil"/>
            </w:tcBorders>
            <w:shd w:val="clear" w:color="auto" w:fill="auto"/>
            <w:noWrap/>
            <w:vAlign w:val="bottom"/>
            <w:hideMark/>
          </w:tcPr>
          <w:p w14:paraId="39EF399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17.948,81</w:t>
            </w:r>
          </w:p>
        </w:tc>
        <w:tc>
          <w:tcPr>
            <w:tcW w:w="1140" w:type="dxa"/>
            <w:tcBorders>
              <w:top w:val="nil"/>
              <w:left w:val="nil"/>
              <w:bottom w:val="nil"/>
              <w:right w:val="single" w:sz="8" w:space="0" w:color="auto"/>
            </w:tcBorders>
            <w:shd w:val="clear" w:color="auto" w:fill="auto"/>
            <w:noWrap/>
            <w:vAlign w:val="bottom"/>
            <w:hideMark/>
          </w:tcPr>
          <w:p w14:paraId="2981479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w:t>
            </w:r>
          </w:p>
        </w:tc>
      </w:tr>
      <w:tr w:rsidR="00600745" w:rsidRPr="00600745" w14:paraId="6B91D0CB"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46055CC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30</w:t>
            </w:r>
          </w:p>
        </w:tc>
        <w:tc>
          <w:tcPr>
            <w:tcW w:w="2324" w:type="dxa"/>
            <w:tcBorders>
              <w:top w:val="nil"/>
              <w:left w:val="nil"/>
              <w:bottom w:val="nil"/>
              <w:right w:val="nil"/>
            </w:tcBorders>
            <w:shd w:val="clear" w:color="auto" w:fill="auto"/>
            <w:noWrap/>
            <w:vAlign w:val="bottom"/>
            <w:hideMark/>
          </w:tcPr>
          <w:p w14:paraId="56C42AC2"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Udine</w:t>
            </w:r>
          </w:p>
        </w:tc>
        <w:tc>
          <w:tcPr>
            <w:tcW w:w="1000" w:type="dxa"/>
            <w:tcBorders>
              <w:top w:val="nil"/>
              <w:left w:val="nil"/>
              <w:bottom w:val="nil"/>
              <w:right w:val="nil"/>
            </w:tcBorders>
            <w:shd w:val="clear" w:color="auto" w:fill="auto"/>
            <w:noWrap/>
            <w:vAlign w:val="bottom"/>
            <w:hideMark/>
          </w:tcPr>
          <w:p w14:paraId="3EA93BB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28.633,94</w:t>
            </w:r>
          </w:p>
        </w:tc>
        <w:tc>
          <w:tcPr>
            <w:tcW w:w="1080" w:type="dxa"/>
            <w:tcBorders>
              <w:top w:val="nil"/>
              <w:left w:val="nil"/>
              <w:bottom w:val="nil"/>
              <w:right w:val="single" w:sz="8" w:space="0" w:color="auto"/>
            </w:tcBorders>
            <w:shd w:val="clear" w:color="auto" w:fill="auto"/>
            <w:noWrap/>
            <w:vAlign w:val="bottom"/>
            <w:hideMark/>
          </w:tcPr>
          <w:p w14:paraId="7D6533F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c>
          <w:tcPr>
            <w:tcW w:w="443" w:type="dxa"/>
            <w:tcBorders>
              <w:top w:val="nil"/>
              <w:left w:val="nil"/>
              <w:bottom w:val="nil"/>
              <w:right w:val="nil"/>
            </w:tcBorders>
            <w:shd w:val="clear" w:color="auto" w:fill="auto"/>
            <w:noWrap/>
            <w:vAlign w:val="bottom"/>
            <w:hideMark/>
          </w:tcPr>
          <w:p w14:paraId="2E86C1E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84</w:t>
            </w:r>
          </w:p>
        </w:tc>
        <w:tc>
          <w:tcPr>
            <w:tcW w:w="2154" w:type="dxa"/>
            <w:tcBorders>
              <w:top w:val="nil"/>
              <w:left w:val="nil"/>
              <w:bottom w:val="nil"/>
              <w:right w:val="nil"/>
            </w:tcBorders>
            <w:shd w:val="clear" w:color="auto" w:fill="auto"/>
            <w:noWrap/>
            <w:vAlign w:val="bottom"/>
            <w:hideMark/>
          </w:tcPr>
          <w:p w14:paraId="02C97F7B"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Nuoro</w:t>
            </w:r>
          </w:p>
        </w:tc>
        <w:tc>
          <w:tcPr>
            <w:tcW w:w="1000" w:type="dxa"/>
            <w:tcBorders>
              <w:top w:val="nil"/>
              <w:left w:val="nil"/>
              <w:bottom w:val="nil"/>
              <w:right w:val="nil"/>
            </w:tcBorders>
            <w:shd w:val="clear" w:color="auto" w:fill="auto"/>
            <w:noWrap/>
            <w:vAlign w:val="bottom"/>
            <w:hideMark/>
          </w:tcPr>
          <w:p w14:paraId="072C4CE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17.809,36</w:t>
            </w:r>
          </w:p>
        </w:tc>
        <w:tc>
          <w:tcPr>
            <w:tcW w:w="1140" w:type="dxa"/>
            <w:tcBorders>
              <w:top w:val="nil"/>
              <w:left w:val="nil"/>
              <w:bottom w:val="nil"/>
              <w:right w:val="single" w:sz="8" w:space="0" w:color="auto"/>
            </w:tcBorders>
            <w:shd w:val="clear" w:color="auto" w:fill="auto"/>
            <w:noWrap/>
            <w:vAlign w:val="bottom"/>
            <w:hideMark/>
          </w:tcPr>
          <w:p w14:paraId="498E1A3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r>
      <w:tr w:rsidR="00600745" w:rsidRPr="00600745" w14:paraId="1296EC31"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5403FE9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31</w:t>
            </w:r>
          </w:p>
        </w:tc>
        <w:tc>
          <w:tcPr>
            <w:tcW w:w="2324" w:type="dxa"/>
            <w:tcBorders>
              <w:top w:val="nil"/>
              <w:left w:val="nil"/>
              <w:bottom w:val="nil"/>
              <w:right w:val="nil"/>
            </w:tcBorders>
            <w:shd w:val="clear" w:color="auto" w:fill="auto"/>
            <w:noWrap/>
            <w:vAlign w:val="bottom"/>
            <w:hideMark/>
          </w:tcPr>
          <w:p w14:paraId="384A0693"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Pordenone</w:t>
            </w:r>
          </w:p>
        </w:tc>
        <w:tc>
          <w:tcPr>
            <w:tcW w:w="1000" w:type="dxa"/>
            <w:tcBorders>
              <w:top w:val="nil"/>
              <w:left w:val="nil"/>
              <w:bottom w:val="nil"/>
              <w:right w:val="nil"/>
            </w:tcBorders>
            <w:shd w:val="clear" w:color="auto" w:fill="auto"/>
            <w:noWrap/>
            <w:vAlign w:val="bottom"/>
            <w:hideMark/>
          </w:tcPr>
          <w:p w14:paraId="0AEAFF9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28.442,44</w:t>
            </w:r>
          </w:p>
        </w:tc>
        <w:tc>
          <w:tcPr>
            <w:tcW w:w="1080" w:type="dxa"/>
            <w:tcBorders>
              <w:top w:val="nil"/>
              <w:left w:val="nil"/>
              <w:bottom w:val="nil"/>
              <w:right w:val="single" w:sz="8" w:space="0" w:color="auto"/>
            </w:tcBorders>
            <w:shd w:val="clear" w:color="auto" w:fill="auto"/>
            <w:noWrap/>
            <w:vAlign w:val="bottom"/>
            <w:hideMark/>
          </w:tcPr>
          <w:p w14:paraId="745BCA3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0069D76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85</w:t>
            </w:r>
          </w:p>
        </w:tc>
        <w:tc>
          <w:tcPr>
            <w:tcW w:w="2154" w:type="dxa"/>
            <w:tcBorders>
              <w:top w:val="nil"/>
              <w:left w:val="nil"/>
              <w:bottom w:val="nil"/>
              <w:right w:val="nil"/>
            </w:tcBorders>
            <w:shd w:val="clear" w:color="auto" w:fill="auto"/>
            <w:noWrap/>
            <w:vAlign w:val="bottom"/>
            <w:hideMark/>
          </w:tcPr>
          <w:p w14:paraId="77797D6E"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Palermo</w:t>
            </w:r>
          </w:p>
        </w:tc>
        <w:tc>
          <w:tcPr>
            <w:tcW w:w="1000" w:type="dxa"/>
            <w:tcBorders>
              <w:top w:val="nil"/>
              <w:left w:val="nil"/>
              <w:bottom w:val="nil"/>
              <w:right w:val="nil"/>
            </w:tcBorders>
            <w:shd w:val="clear" w:color="auto" w:fill="auto"/>
            <w:noWrap/>
            <w:vAlign w:val="bottom"/>
            <w:hideMark/>
          </w:tcPr>
          <w:p w14:paraId="0ACDDE3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17.772,58</w:t>
            </w:r>
          </w:p>
        </w:tc>
        <w:tc>
          <w:tcPr>
            <w:tcW w:w="1140" w:type="dxa"/>
            <w:tcBorders>
              <w:top w:val="nil"/>
              <w:left w:val="nil"/>
              <w:bottom w:val="nil"/>
              <w:right w:val="single" w:sz="8" w:space="0" w:color="auto"/>
            </w:tcBorders>
            <w:shd w:val="clear" w:color="auto" w:fill="auto"/>
            <w:noWrap/>
            <w:vAlign w:val="bottom"/>
            <w:hideMark/>
          </w:tcPr>
          <w:p w14:paraId="16D2085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36256718"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42EFCD9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32</w:t>
            </w:r>
          </w:p>
        </w:tc>
        <w:tc>
          <w:tcPr>
            <w:tcW w:w="2324" w:type="dxa"/>
            <w:tcBorders>
              <w:top w:val="nil"/>
              <w:left w:val="nil"/>
              <w:bottom w:val="nil"/>
              <w:right w:val="nil"/>
            </w:tcBorders>
            <w:shd w:val="clear" w:color="auto" w:fill="auto"/>
            <w:noWrap/>
            <w:vAlign w:val="bottom"/>
            <w:hideMark/>
          </w:tcPr>
          <w:p w14:paraId="04AE359B"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La Spezia</w:t>
            </w:r>
          </w:p>
        </w:tc>
        <w:tc>
          <w:tcPr>
            <w:tcW w:w="1000" w:type="dxa"/>
            <w:tcBorders>
              <w:top w:val="nil"/>
              <w:left w:val="nil"/>
              <w:bottom w:val="nil"/>
              <w:right w:val="nil"/>
            </w:tcBorders>
            <w:shd w:val="clear" w:color="auto" w:fill="auto"/>
            <w:noWrap/>
            <w:vAlign w:val="bottom"/>
            <w:hideMark/>
          </w:tcPr>
          <w:p w14:paraId="2A4B2D7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28.331,55</w:t>
            </w:r>
          </w:p>
        </w:tc>
        <w:tc>
          <w:tcPr>
            <w:tcW w:w="1080" w:type="dxa"/>
            <w:tcBorders>
              <w:top w:val="nil"/>
              <w:left w:val="nil"/>
              <w:bottom w:val="nil"/>
              <w:right w:val="single" w:sz="8" w:space="0" w:color="auto"/>
            </w:tcBorders>
            <w:shd w:val="clear" w:color="auto" w:fill="auto"/>
            <w:noWrap/>
            <w:vAlign w:val="bottom"/>
            <w:hideMark/>
          </w:tcPr>
          <w:p w14:paraId="211AE90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6</w:t>
            </w:r>
          </w:p>
        </w:tc>
        <w:tc>
          <w:tcPr>
            <w:tcW w:w="443" w:type="dxa"/>
            <w:tcBorders>
              <w:top w:val="nil"/>
              <w:left w:val="nil"/>
              <w:bottom w:val="nil"/>
              <w:right w:val="nil"/>
            </w:tcBorders>
            <w:shd w:val="clear" w:color="auto" w:fill="auto"/>
            <w:noWrap/>
            <w:vAlign w:val="bottom"/>
            <w:hideMark/>
          </w:tcPr>
          <w:p w14:paraId="206A3BA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86</w:t>
            </w:r>
          </w:p>
        </w:tc>
        <w:tc>
          <w:tcPr>
            <w:tcW w:w="2154" w:type="dxa"/>
            <w:tcBorders>
              <w:top w:val="nil"/>
              <w:left w:val="nil"/>
              <w:bottom w:val="nil"/>
              <w:right w:val="nil"/>
            </w:tcBorders>
            <w:shd w:val="clear" w:color="auto" w:fill="auto"/>
            <w:noWrap/>
            <w:vAlign w:val="bottom"/>
            <w:hideMark/>
          </w:tcPr>
          <w:p w14:paraId="267F89E1"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Avellino</w:t>
            </w:r>
          </w:p>
        </w:tc>
        <w:tc>
          <w:tcPr>
            <w:tcW w:w="1000" w:type="dxa"/>
            <w:tcBorders>
              <w:top w:val="nil"/>
              <w:left w:val="nil"/>
              <w:bottom w:val="nil"/>
              <w:right w:val="nil"/>
            </w:tcBorders>
            <w:shd w:val="clear" w:color="auto" w:fill="auto"/>
            <w:noWrap/>
            <w:vAlign w:val="bottom"/>
            <w:hideMark/>
          </w:tcPr>
          <w:p w14:paraId="05D93B2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17.670,65</w:t>
            </w:r>
          </w:p>
        </w:tc>
        <w:tc>
          <w:tcPr>
            <w:tcW w:w="1140" w:type="dxa"/>
            <w:tcBorders>
              <w:top w:val="nil"/>
              <w:left w:val="nil"/>
              <w:bottom w:val="nil"/>
              <w:right w:val="single" w:sz="8" w:space="0" w:color="auto"/>
            </w:tcBorders>
            <w:shd w:val="clear" w:color="auto" w:fill="auto"/>
            <w:noWrap/>
            <w:vAlign w:val="bottom"/>
            <w:hideMark/>
          </w:tcPr>
          <w:p w14:paraId="79BF2CC4"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w:t>
            </w:r>
          </w:p>
        </w:tc>
      </w:tr>
      <w:tr w:rsidR="00600745" w:rsidRPr="00600745" w14:paraId="626A164A"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53F0E25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33</w:t>
            </w:r>
          </w:p>
        </w:tc>
        <w:tc>
          <w:tcPr>
            <w:tcW w:w="2324" w:type="dxa"/>
            <w:tcBorders>
              <w:top w:val="nil"/>
              <w:left w:val="nil"/>
              <w:bottom w:val="nil"/>
              <w:right w:val="nil"/>
            </w:tcBorders>
            <w:shd w:val="clear" w:color="auto" w:fill="auto"/>
            <w:noWrap/>
            <w:vAlign w:val="bottom"/>
            <w:hideMark/>
          </w:tcPr>
          <w:p w14:paraId="5B288058"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Novara</w:t>
            </w:r>
          </w:p>
        </w:tc>
        <w:tc>
          <w:tcPr>
            <w:tcW w:w="1000" w:type="dxa"/>
            <w:tcBorders>
              <w:top w:val="nil"/>
              <w:left w:val="nil"/>
              <w:bottom w:val="nil"/>
              <w:right w:val="nil"/>
            </w:tcBorders>
            <w:shd w:val="clear" w:color="auto" w:fill="auto"/>
            <w:noWrap/>
            <w:vAlign w:val="bottom"/>
            <w:hideMark/>
          </w:tcPr>
          <w:p w14:paraId="3BD08E2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28.229,85</w:t>
            </w:r>
          </w:p>
        </w:tc>
        <w:tc>
          <w:tcPr>
            <w:tcW w:w="1080" w:type="dxa"/>
            <w:tcBorders>
              <w:top w:val="nil"/>
              <w:left w:val="nil"/>
              <w:bottom w:val="nil"/>
              <w:right w:val="single" w:sz="8" w:space="0" w:color="auto"/>
            </w:tcBorders>
            <w:shd w:val="clear" w:color="auto" w:fill="auto"/>
            <w:noWrap/>
            <w:vAlign w:val="bottom"/>
            <w:hideMark/>
          </w:tcPr>
          <w:p w14:paraId="4AEA545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c>
          <w:tcPr>
            <w:tcW w:w="443" w:type="dxa"/>
            <w:tcBorders>
              <w:top w:val="nil"/>
              <w:left w:val="nil"/>
              <w:bottom w:val="nil"/>
              <w:right w:val="nil"/>
            </w:tcBorders>
            <w:shd w:val="clear" w:color="auto" w:fill="auto"/>
            <w:noWrap/>
            <w:vAlign w:val="bottom"/>
            <w:hideMark/>
          </w:tcPr>
          <w:p w14:paraId="1AB3911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87</w:t>
            </w:r>
          </w:p>
        </w:tc>
        <w:tc>
          <w:tcPr>
            <w:tcW w:w="2154" w:type="dxa"/>
            <w:tcBorders>
              <w:top w:val="nil"/>
              <w:left w:val="nil"/>
              <w:bottom w:val="nil"/>
              <w:right w:val="nil"/>
            </w:tcBorders>
            <w:shd w:val="clear" w:color="auto" w:fill="auto"/>
            <w:noWrap/>
            <w:vAlign w:val="bottom"/>
            <w:hideMark/>
          </w:tcPr>
          <w:p w14:paraId="75D0D067"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Catania</w:t>
            </w:r>
          </w:p>
        </w:tc>
        <w:tc>
          <w:tcPr>
            <w:tcW w:w="1000" w:type="dxa"/>
            <w:tcBorders>
              <w:top w:val="nil"/>
              <w:left w:val="nil"/>
              <w:bottom w:val="nil"/>
              <w:right w:val="nil"/>
            </w:tcBorders>
            <w:shd w:val="clear" w:color="auto" w:fill="auto"/>
            <w:noWrap/>
            <w:vAlign w:val="bottom"/>
            <w:hideMark/>
          </w:tcPr>
          <w:p w14:paraId="66D7E51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17.395,91</w:t>
            </w:r>
          </w:p>
        </w:tc>
        <w:tc>
          <w:tcPr>
            <w:tcW w:w="1140" w:type="dxa"/>
            <w:tcBorders>
              <w:top w:val="nil"/>
              <w:left w:val="nil"/>
              <w:bottom w:val="nil"/>
              <w:right w:val="single" w:sz="8" w:space="0" w:color="auto"/>
            </w:tcBorders>
            <w:shd w:val="clear" w:color="auto" w:fill="auto"/>
            <w:noWrap/>
            <w:vAlign w:val="bottom"/>
            <w:hideMark/>
          </w:tcPr>
          <w:p w14:paraId="037CB64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w:t>
            </w:r>
          </w:p>
        </w:tc>
      </w:tr>
      <w:tr w:rsidR="00600745" w:rsidRPr="00600745" w14:paraId="2AF24F4F"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1AE5F3D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34</w:t>
            </w:r>
          </w:p>
        </w:tc>
        <w:tc>
          <w:tcPr>
            <w:tcW w:w="2324" w:type="dxa"/>
            <w:tcBorders>
              <w:top w:val="nil"/>
              <w:left w:val="nil"/>
              <w:bottom w:val="nil"/>
              <w:right w:val="nil"/>
            </w:tcBorders>
            <w:shd w:val="clear" w:color="auto" w:fill="auto"/>
            <w:noWrap/>
            <w:vAlign w:val="bottom"/>
            <w:hideMark/>
          </w:tcPr>
          <w:p w14:paraId="02C77817"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Prato</w:t>
            </w:r>
          </w:p>
        </w:tc>
        <w:tc>
          <w:tcPr>
            <w:tcW w:w="1000" w:type="dxa"/>
            <w:tcBorders>
              <w:top w:val="nil"/>
              <w:left w:val="nil"/>
              <w:bottom w:val="nil"/>
              <w:right w:val="nil"/>
            </w:tcBorders>
            <w:shd w:val="clear" w:color="auto" w:fill="auto"/>
            <w:noWrap/>
            <w:vAlign w:val="bottom"/>
            <w:hideMark/>
          </w:tcPr>
          <w:p w14:paraId="3956B1B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28.213,51</w:t>
            </w:r>
          </w:p>
        </w:tc>
        <w:tc>
          <w:tcPr>
            <w:tcW w:w="1080" w:type="dxa"/>
            <w:tcBorders>
              <w:top w:val="nil"/>
              <w:left w:val="nil"/>
              <w:bottom w:val="nil"/>
              <w:right w:val="single" w:sz="8" w:space="0" w:color="auto"/>
            </w:tcBorders>
            <w:shd w:val="clear" w:color="auto" w:fill="auto"/>
            <w:noWrap/>
            <w:vAlign w:val="bottom"/>
            <w:hideMark/>
          </w:tcPr>
          <w:p w14:paraId="4DEBBB0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-10</w:t>
            </w:r>
          </w:p>
        </w:tc>
        <w:tc>
          <w:tcPr>
            <w:tcW w:w="443" w:type="dxa"/>
            <w:tcBorders>
              <w:top w:val="nil"/>
              <w:left w:val="nil"/>
              <w:bottom w:val="nil"/>
              <w:right w:val="nil"/>
            </w:tcBorders>
            <w:shd w:val="clear" w:color="auto" w:fill="auto"/>
            <w:noWrap/>
            <w:vAlign w:val="bottom"/>
            <w:hideMark/>
          </w:tcPr>
          <w:p w14:paraId="6771EED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88</w:t>
            </w:r>
          </w:p>
        </w:tc>
        <w:tc>
          <w:tcPr>
            <w:tcW w:w="2154" w:type="dxa"/>
            <w:tcBorders>
              <w:top w:val="nil"/>
              <w:left w:val="nil"/>
              <w:bottom w:val="nil"/>
              <w:right w:val="nil"/>
            </w:tcBorders>
            <w:shd w:val="clear" w:color="auto" w:fill="auto"/>
            <w:noWrap/>
            <w:vAlign w:val="bottom"/>
            <w:hideMark/>
          </w:tcPr>
          <w:p w14:paraId="18E41036"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Messina</w:t>
            </w:r>
          </w:p>
        </w:tc>
        <w:tc>
          <w:tcPr>
            <w:tcW w:w="1000" w:type="dxa"/>
            <w:tcBorders>
              <w:top w:val="nil"/>
              <w:left w:val="nil"/>
              <w:bottom w:val="nil"/>
              <w:right w:val="nil"/>
            </w:tcBorders>
            <w:shd w:val="clear" w:color="auto" w:fill="auto"/>
            <w:noWrap/>
            <w:vAlign w:val="bottom"/>
            <w:hideMark/>
          </w:tcPr>
          <w:p w14:paraId="004EAF4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17.310,48</w:t>
            </w:r>
          </w:p>
        </w:tc>
        <w:tc>
          <w:tcPr>
            <w:tcW w:w="1140" w:type="dxa"/>
            <w:tcBorders>
              <w:top w:val="nil"/>
              <w:left w:val="nil"/>
              <w:bottom w:val="nil"/>
              <w:right w:val="single" w:sz="8" w:space="0" w:color="auto"/>
            </w:tcBorders>
            <w:shd w:val="clear" w:color="auto" w:fill="auto"/>
            <w:noWrap/>
            <w:vAlign w:val="bottom"/>
            <w:hideMark/>
          </w:tcPr>
          <w:p w14:paraId="65A5F69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r>
      <w:tr w:rsidR="00600745" w:rsidRPr="00600745" w14:paraId="37D69159"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2CD9580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35</w:t>
            </w:r>
          </w:p>
        </w:tc>
        <w:tc>
          <w:tcPr>
            <w:tcW w:w="2324" w:type="dxa"/>
            <w:tcBorders>
              <w:top w:val="nil"/>
              <w:left w:val="nil"/>
              <w:bottom w:val="nil"/>
              <w:right w:val="nil"/>
            </w:tcBorders>
            <w:shd w:val="clear" w:color="auto" w:fill="auto"/>
            <w:noWrap/>
            <w:vAlign w:val="bottom"/>
            <w:hideMark/>
          </w:tcPr>
          <w:p w14:paraId="2911CAB9"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Siena</w:t>
            </w:r>
          </w:p>
        </w:tc>
        <w:tc>
          <w:tcPr>
            <w:tcW w:w="1000" w:type="dxa"/>
            <w:tcBorders>
              <w:top w:val="nil"/>
              <w:left w:val="nil"/>
              <w:bottom w:val="nil"/>
              <w:right w:val="nil"/>
            </w:tcBorders>
            <w:shd w:val="clear" w:color="auto" w:fill="auto"/>
            <w:noWrap/>
            <w:vAlign w:val="bottom"/>
            <w:hideMark/>
          </w:tcPr>
          <w:p w14:paraId="2A9AE31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28.194,37</w:t>
            </w:r>
          </w:p>
        </w:tc>
        <w:tc>
          <w:tcPr>
            <w:tcW w:w="1080" w:type="dxa"/>
            <w:tcBorders>
              <w:top w:val="nil"/>
              <w:left w:val="nil"/>
              <w:bottom w:val="nil"/>
              <w:right w:val="single" w:sz="8" w:space="0" w:color="auto"/>
            </w:tcBorders>
            <w:shd w:val="clear" w:color="auto" w:fill="auto"/>
            <w:noWrap/>
            <w:vAlign w:val="bottom"/>
            <w:hideMark/>
          </w:tcPr>
          <w:p w14:paraId="1305BE1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c>
          <w:tcPr>
            <w:tcW w:w="443" w:type="dxa"/>
            <w:tcBorders>
              <w:top w:val="nil"/>
              <w:left w:val="nil"/>
              <w:bottom w:val="nil"/>
              <w:right w:val="nil"/>
            </w:tcBorders>
            <w:shd w:val="clear" w:color="auto" w:fill="auto"/>
            <w:noWrap/>
            <w:vAlign w:val="bottom"/>
            <w:hideMark/>
          </w:tcPr>
          <w:p w14:paraId="5E59898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89</w:t>
            </w:r>
          </w:p>
        </w:tc>
        <w:tc>
          <w:tcPr>
            <w:tcW w:w="2154" w:type="dxa"/>
            <w:tcBorders>
              <w:top w:val="nil"/>
              <w:left w:val="nil"/>
              <w:bottom w:val="nil"/>
              <w:right w:val="nil"/>
            </w:tcBorders>
            <w:shd w:val="clear" w:color="auto" w:fill="auto"/>
            <w:noWrap/>
            <w:vAlign w:val="bottom"/>
            <w:hideMark/>
          </w:tcPr>
          <w:p w14:paraId="2BFE342C"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Oristano</w:t>
            </w:r>
          </w:p>
        </w:tc>
        <w:tc>
          <w:tcPr>
            <w:tcW w:w="1000" w:type="dxa"/>
            <w:tcBorders>
              <w:top w:val="nil"/>
              <w:left w:val="nil"/>
              <w:bottom w:val="nil"/>
              <w:right w:val="nil"/>
            </w:tcBorders>
            <w:shd w:val="clear" w:color="auto" w:fill="auto"/>
            <w:noWrap/>
            <w:vAlign w:val="bottom"/>
            <w:hideMark/>
          </w:tcPr>
          <w:p w14:paraId="522448E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17.210,48</w:t>
            </w:r>
          </w:p>
        </w:tc>
        <w:tc>
          <w:tcPr>
            <w:tcW w:w="1140" w:type="dxa"/>
            <w:tcBorders>
              <w:top w:val="nil"/>
              <w:left w:val="nil"/>
              <w:bottom w:val="nil"/>
              <w:right w:val="single" w:sz="8" w:space="0" w:color="auto"/>
            </w:tcBorders>
            <w:shd w:val="clear" w:color="auto" w:fill="auto"/>
            <w:noWrap/>
            <w:vAlign w:val="bottom"/>
            <w:hideMark/>
          </w:tcPr>
          <w:p w14:paraId="550EE79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r>
      <w:tr w:rsidR="00600745" w:rsidRPr="00600745" w14:paraId="25951147"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3D92DDD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36</w:t>
            </w:r>
          </w:p>
        </w:tc>
        <w:tc>
          <w:tcPr>
            <w:tcW w:w="2324" w:type="dxa"/>
            <w:tcBorders>
              <w:top w:val="nil"/>
              <w:left w:val="nil"/>
              <w:bottom w:val="nil"/>
              <w:right w:val="nil"/>
            </w:tcBorders>
            <w:shd w:val="clear" w:color="auto" w:fill="auto"/>
            <w:noWrap/>
            <w:vAlign w:val="bottom"/>
            <w:hideMark/>
          </w:tcPr>
          <w:p w14:paraId="4655917E"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Monza e della Brianza</w:t>
            </w:r>
          </w:p>
        </w:tc>
        <w:tc>
          <w:tcPr>
            <w:tcW w:w="1000" w:type="dxa"/>
            <w:tcBorders>
              <w:top w:val="nil"/>
              <w:left w:val="nil"/>
              <w:bottom w:val="nil"/>
              <w:right w:val="nil"/>
            </w:tcBorders>
            <w:shd w:val="clear" w:color="auto" w:fill="auto"/>
            <w:noWrap/>
            <w:vAlign w:val="bottom"/>
            <w:hideMark/>
          </w:tcPr>
          <w:p w14:paraId="5BBB696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28.047,42</w:t>
            </w:r>
          </w:p>
        </w:tc>
        <w:tc>
          <w:tcPr>
            <w:tcW w:w="1080" w:type="dxa"/>
            <w:tcBorders>
              <w:top w:val="nil"/>
              <w:left w:val="nil"/>
              <w:bottom w:val="nil"/>
              <w:right w:val="single" w:sz="8" w:space="0" w:color="auto"/>
            </w:tcBorders>
            <w:shd w:val="clear" w:color="auto" w:fill="auto"/>
            <w:noWrap/>
            <w:vAlign w:val="bottom"/>
            <w:hideMark/>
          </w:tcPr>
          <w:p w14:paraId="3FC8BF4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c>
          <w:tcPr>
            <w:tcW w:w="443" w:type="dxa"/>
            <w:tcBorders>
              <w:top w:val="nil"/>
              <w:left w:val="nil"/>
              <w:bottom w:val="nil"/>
              <w:right w:val="nil"/>
            </w:tcBorders>
            <w:shd w:val="clear" w:color="auto" w:fill="auto"/>
            <w:noWrap/>
            <w:vAlign w:val="bottom"/>
            <w:hideMark/>
          </w:tcPr>
          <w:p w14:paraId="135F25F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90</w:t>
            </w:r>
          </w:p>
        </w:tc>
        <w:tc>
          <w:tcPr>
            <w:tcW w:w="2154" w:type="dxa"/>
            <w:tcBorders>
              <w:top w:val="nil"/>
              <w:left w:val="nil"/>
              <w:bottom w:val="nil"/>
              <w:right w:val="nil"/>
            </w:tcBorders>
            <w:shd w:val="clear" w:color="auto" w:fill="auto"/>
            <w:noWrap/>
            <w:vAlign w:val="bottom"/>
            <w:hideMark/>
          </w:tcPr>
          <w:p w14:paraId="443F60E6"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Ragusa</w:t>
            </w:r>
          </w:p>
        </w:tc>
        <w:tc>
          <w:tcPr>
            <w:tcW w:w="1000" w:type="dxa"/>
            <w:tcBorders>
              <w:top w:val="nil"/>
              <w:left w:val="nil"/>
              <w:bottom w:val="nil"/>
              <w:right w:val="nil"/>
            </w:tcBorders>
            <w:shd w:val="clear" w:color="auto" w:fill="auto"/>
            <w:noWrap/>
            <w:vAlign w:val="bottom"/>
            <w:hideMark/>
          </w:tcPr>
          <w:p w14:paraId="4E7522E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16.903,90</w:t>
            </w:r>
          </w:p>
        </w:tc>
        <w:tc>
          <w:tcPr>
            <w:tcW w:w="1140" w:type="dxa"/>
            <w:tcBorders>
              <w:top w:val="nil"/>
              <w:left w:val="nil"/>
              <w:bottom w:val="nil"/>
              <w:right w:val="single" w:sz="8" w:space="0" w:color="auto"/>
            </w:tcBorders>
            <w:shd w:val="clear" w:color="auto" w:fill="auto"/>
            <w:noWrap/>
            <w:vAlign w:val="bottom"/>
            <w:hideMark/>
          </w:tcPr>
          <w:p w14:paraId="7EC9FA5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w:t>
            </w:r>
          </w:p>
        </w:tc>
      </w:tr>
      <w:tr w:rsidR="00600745" w:rsidRPr="00600745" w14:paraId="492E97B7"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62C4A37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37</w:t>
            </w:r>
          </w:p>
        </w:tc>
        <w:tc>
          <w:tcPr>
            <w:tcW w:w="2324" w:type="dxa"/>
            <w:tcBorders>
              <w:top w:val="nil"/>
              <w:left w:val="nil"/>
              <w:bottom w:val="nil"/>
              <w:right w:val="nil"/>
            </w:tcBorders>
            <w:shd w:val="clear" w:color="auto" w:fill="auto"/>
            <w:noWrap/>
            <w:vAlign w:val="bottom"/>
            <w:hideMark/>
          </w:tcPr>
          <w:p w14:paraId="2CBEE6F1"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Sondrio</w:t>
            </w:r>
          </w:p>
        </w:tc>
        <w:tc>
          <w:tcPr>
            <w:tcW w:w="1000" w:type="dxa"/>
            <w:tcBorders>
              <w:top w:val="nil"/>
              <w:left w:val="nil"/>
              <w:bottom w:val="nil"/>
              <w:right w:val="nil"/>
            </w:tcBorders>
            <w:shd w:val="clear" w:color="auto" w:fill="auto"/>
            <w:noWrap/>
            <w:vAlign w:val="bottom"/>
            <w:hideMark/>
          </w:tcPr>
          <w:p w14:paraId="32AE6A9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27.734,66</w:t>
            </w:r>
          </w:p>
        </w:tc>
        <w:tc>
          <w:tcPr>
            <w:tcW w:w="1080" w:type="dxa"/>
            <w:tcBorders>
              <w:top w:val="nil"/>
              <w:left w:val="nil"/>
              <w:bottom w:val="nil"/>
              <w:right w:val="single" w:sz="8" w:space="0" w:color="auto"/>
            </w:tcBorders>
            <w:shd w:val="clear" w:color="auto" w:fill="auto"/>
            <w:noWrap/>
            <w:vAlign w:val="bottom"/>
            <w:hideMark/>
          </w:tcPr>
          <w:p w14:paraId="683B0D4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3C7A078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91</w:t>
            </w:r>
          </w:p>
        </w:tc>
        <w:tc>
          <w:tcPr>
            <w:tcW w:w="2154" w:type="dxa"/>
            <w:tcBorders>
              <w:top w:val="nil"/>
              <w:left w:val="nil"/>
              <w:bottom w:val="nil"/>
              <w:right w:val="nil"/>
            </w:tcBorders>
            <w:shd w:val="clear" w:color="auto" w:fill="auto"/>
            <w:noWrap/>
            <w:vAlign w:val="bottom"/>
            <w:hideMark/>
          </w:tcPr>
          <w:p w14:paraId="307FCDF7"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Siracusa</w:t>
            </w:r>
          </w:p>
        </w:tc>
        <w:tc>
          <w:tcPr>
            <w:tcW w:w="1000" w:type="dxa"/>
            <w:tcBorders>
              <w:top w:val="nil"/>
              <w:left w:val="nil"/>
              <w:bottom w:val="nil"/>
              <w:right w:val="nil"/>
            </w:tcBorders>
            <w:shd w:val="clear" w:color="auto" w:fill="auto"/>
            <w:noWrap/>
            <w:vAlign w:val="bottom"/>
            <w:hideMark/>
          </w:tcPr>
          <w:p w14:paraId="320D433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16.854,11</w:t>
            </w:r>
          </w:p>
        </w:tc>
        <w:tc>
          <w:tcPr>
            <w:tcW w:w="1140" w:type="dxa"/>
            <w:tcBorders>
              <w:top w:val="nil"/>
              <w:left w:val="nil"/>
              <w:bottom w:val="nil"/>
              <w:right w:val="single" w:sz="8" w:space="0" w:color="auto"/>
            </w:tcBorders>
            <w:shd w:val="clear" w:color="auto" w:fill="auto"/>
            <w:noWrap/>
            <w:vAlign w:val="bottom"/>
            <w:hideMark/>
          </w:tcPr>
          <w:p w14:paraId="41D95214"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w:t>
            </w:r>
          </w:p>
        </w:tc>
      </w:tr>
      <w:tr w:rsidR="00600745" w:rsidRPr="00600745" w14:paraId="30446FF8"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1B7F2824"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38</w:t>
            </w:r>
          </w:p>
        </w:tc>
        <w:tc>
          <w:tcPr>
            <w:tcW w:w="2324" w:type="dxa"/>
            <w:tcBorders>
              <w:top w:val="nil"/>
              <w:left w:val="nil"/>
              <w:bottom w:val="nil"/>
              <w:right w:val="nil"/>
            </w:tcBorders>
            <w:shd w:val="clear" w:color="auto" w:fill="auto"/>
            <w:noWrap/>
            <w:vAlign w:val="bottom"/>
            <w:hideMark/>
          </w:tcPr>
          <w:p w14:paraId="7833ACB0"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Ancona</w:t>
            </w:r>
          </w:p>
        </w:tc>
        <w:tc>
          <w:tcPr>
            <w:tcW w:w="1000" w:type="dxa"/>
            <w:tcBorders>
              <w:top w:val="nil"/>
              <w:left w:val="nil"/>
              <w:bottom w:val="nil"/>
              <w:right w:val="nil"/>
            </w:tcBorders>
            <w:shd w:val="clear" w:color="auto" w:fill="auto"/>
            <w:noWrap/>
            <w:vAlign w:val="bottom"/>
            <w:hideMark/>
          </w:tcPr>
          <w:p w14:paraId="7174E44E"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27.604,03</w:t>
            </w:r>
          </w:p>
        </w:tc>
        <w:tc>
          <w:tcPr>
            <w:tcW w:w="1080" w:type="dxa"/>
            <w:tcBorders>
              <w:top w:val="nil"/>
              <w:left w:val="nil"/>
              <w:bottom w:val="nil"/>
              <w:right w:val="single" w:sz="8" w:space="0" w:color="auto"/>
            </w:tcBorders>
            <w:shd w:val="clear" w:color="auto" w:fill="auto"/>
            <w:noWrap/>
            <w:vAlign w:val="bottom"/>
            <w:hideMark/>
          </w:tcPr>
          <w:p w14:paraId="2C6774A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17F30F4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92</w:t>
            </w:r>
          </w:p>
        </w:tc>
        <w:tc>
          <w:tcPr>
            <w:tcW w:w="2154" w:type="dxa"/>
            <w:tcBorders>
              <w:top w:val="nil"/>
              <w:left w:val="nil"/>
              <w:bottom w:val="nil"/>
              <w:right w:val="nil"/>
            </w:tcBorders>
            <w:shd w:val="clear" w:color="auto" w:fill="auto"/>
            <w:noWrap/>
            <w:vAlign w:val="bottom"/>
            <w:hideMark/>
          </w:tcPr>
          <w:p w14:paraId="629EAE46"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Foggia</w:t>
            </w:r>
          </w:p>
        </w:tc>
        <w:tc>
          <w:tcPr>
            <w:tcW w:w="1000" w:type="dxa"/>
            <w:tcBorders>
              <w:top w:val="nil"/>
              <w:left w:val="nil"/>
              <w:bottom w:val="nil"/>
              <w:right w:val="nil"/>
            </w:tcBorders>
            <w:shd w:val="clear" w:color="auto" w:fill="auto"/>
            <w:noWrap/>
            <w:vAlign w:val="bottom"/>
            <w:hideMark/>
          </w:tcPr>
          <w:p w14:paraId="7C90A13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16.825,97</w:t>
            </w:r>
          </w:p>
        </w:tc>
        <w:tc>
          <w:tcPr>
            <w:tcW w:w="1140" w:type="dxa"/>
            <w:tcBorders>
              <w:top w:val="nil"/>
              <w:left w:val="nil"/>
              <w:bottom w:val="nil"/>
              <w:right w:val="single" w:sz="8" w:space="0" w:color="auto"/>
            </w:tcBorders>
            <w:shd w:val="clear" w:color="auto" w:fill="auto"/>
            <w:noWrap/>
            <w:vAlign w:val="bottom"/>
            <w:hideMark/>
          </w:tcPr>
          <w:p w14:paraId="5384FF5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w:t>
            </w:r>
          </w:p>
        </w:tc>
      </w:tr>
      <w:tr w:rsidR="00600745" w:rsidRPr="00600745" w14:paraId="683A0BCA"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4C883BE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39</w:t>
            </w:r>
          </w:p>
        </w:tc>
        <w:tc>
          <w:tcPr>
            <w:tcW w:w="2324" w:type="dxa"/>
            <w:tcBorders>
              <w:top w:val="nil"/>
              <w:left w:val="nil"/>
              <w:bottom w:val="nil"/>
              <w:right w:val="nil"/>
            </w:tcBorders>
            <w:shd w:val="clear" w:color="auto" w:fill="auto"/>
            <w:noWrap/>
            <w:vAlign w:val="bottom"/>
            <w:hideMark/>
          </w:tcPr>
          <w:p w14:paraId="216E2F2F"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Varese</w:t>
            </w:r>
          </w:p>
        </w:tc>
        <w:tc>
          <w:tcPr>
            <w:tcW w:w="1000" w:type="dxa"/>
            <w:tcBorders>
              <w:top w:val="nil"/>
              <w:left w:val="nil"/>
              <w:bottom w:val="nil"/>
              <w:right w:val="nil"/>
            </w:tcBorders>
            <w:shd w:val="clear" w:color="auto" w:fill="auto"/>
            <w:noWrap/>
            <w:vAlign w:val="bottom"/>
            <w:hideMark/>
          </w:tcPr>
          <w:p w14:paraId="1B14EF0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27.383,78</w:t>
            </w:r>
          </w:p>
        </w:tc>
        <w:tc>
          <w:tcPr>
            <w:tcW w:w="1080" w:type="dxa"/>
            <w:tcBorders>
              <w:top w:val="nil"/>
              <w:left w:val="nil"/>
              <w:bottom w:val="nil"/>
              <w:right w:val="single" w:sz="8" w:space="0" w:color="auto"/>
            </w:tcBorders>
            <w:shd w:val="clear" w:color="auto" w:fill="auto"/>
            <w:noWrap/>
            <w:vAlign w:val="bottom"/>
            <w:hideMark/>
          </w:tcPr>
          <w:p w14:paraId="0D218D1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5B2DBC9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93</w:t>
            </w:r>
          </w:p>
        </w:tc>
        <w:tc>
          <w:tcPr>
            <w:tcW w:w="2154" w:type="dxa"/>
            <w:tcBorders>
              <w:top w:val="nil"/>
              <w:left w:val="nil"/>
              <w:bottom w:val="nil"/>
              <w:right w:val="nil"/>
            </w:tcBorders>
            <w:shd w:val="clear" w:color="auto" w:fill="auto"/>
            <w:noWrap/>
            <w:vAlign w:val="bottom"/>
            <w:hideMark/>
          </w:tcPr>
          <w:p w14:paraId="04A99B0C"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Taranto</w:t>
            </w:r>
          </w:p>
        </w:tc>
        <w:tc>
          <w:tcPr>
            <w:tcW w:w="1000" w:type="dxa"/>
            <w:tcBorders>
              <w:top w:val="nil"/>
              <w:left w:val="nil"/>
              <w:bottom w:val="nil"/>
              <w:right w:val="nil"/>
            </w:tcBorders>
            <w:shd w:val="clear" w:color="auto" w:fill="auto"/>
            <w:noWrap/>
            <w:vAlign w:val="bottom"/>
            <w:hideMark/>
          </w:tcPr>
          <w:p w14:paraId="79ADBDD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16.618,49</w:t>
            </w:r>
          </w:p>
        </w:tc>
        <w:tc>
          <w:tcPr>
            <w:tcW w:w="1140" w:type="dxa"/>
            <w:tcBorders>
              <w:top w:val="nil"/>
              <w:left w:val="nil"/>
              <w:bottom w:val="nil"/>
              <w:right w:val="single" w:sz="8" w:space="0" w:color="auto"/>
            </w:tcBorders>
            <w:shd w:val="clear" w:color="auto" w:fill="auto"/>
            <w:noWrap/>
            <w:vAlign w:val="bottom"/>
            <w:hideMark/>
          </w:tcPr>
          <w:p w14:paraId="195836C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r>
      <w:tr w:rsidR="00600745" w:rsidRPr="00600745" w14:paraId="7F362BCF"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15E337A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40</w:t>
            </w:r>
          </w:p>
        </w:tc>
        <w:tc>
          <w:tcPr>
            <w:tcW w:w="2324" w:type="dxa"/>
            <w:tcBorders>
              <w:top w:val="nil"/>
              <w:left w:val="nil"/>
              <w:bottom w:val="nil"/>
              <w:right w:val="nil"/>
            </w:tcBorders>
            <w:shd w:val="clear" w:color="auto" w:fill="auto"/>
            <w:noWrap/>
            <w:vAlign w:val="bottom"/>
            <w:hideMark/>
          </w:tcPr>
          <w:p w14:paraId="48D9B68A"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Rimini</w:t>
            </w:r>
          </w:p>
        </w:tc>
        <w:tc>
          <w:tcPr>
            <w:tcW w:w="1000" w:type="dxa"/>
            <w:tcBorders>
              <w:top w:val="nil"/>
              <w:left w:val="nil"/>
              <w:bottom w:val="nil"/>
              <w:right w:val="nil"/>
            </w:tcBorders>
            <w:shd w:val="clear" w:color="auto" w:fill="auto"/>
            <w:noWrap/>
            <w:vAlign w:val="bottom"/>
            <w:hideMark/>
          </w:tcPr>
          <w:p w14:paraId="633C959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27.071,85</w:t>
            </w:r>
          </w:p>
        </w:tc>
        <w:tc>
          <w:tcPr>
            <w:tcW w:w="1080" w:type="dxa"/>
            <w:tcBorders>
              <w:top w:val="nil"/>
              <w:left w:val="nil"/>
              <w:bottom w:val="nil"/>
              <w:right w:val="single" w:sz="8" w:space="0" w:color="auto"/>
            </w:tcBorders>
            <w:shd w:val="clear" w:color="auto" w:fill="auto"/>
            <w:noWrap/>
            <w:vAlign w:val="bottom"/>
            <w:hideMark/>
          </w:tcPr>
          <w:p w14:paraId="26428F74"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w:t>
            </w:r>
          </w:p>
        </w:tc>
        <w:tc>
          <w:tcPr>
            <w:tcW w:w="443" w:type="dxa"/>
            <w:tcBorders>
              <w:top w:val="nil"/>
              <w:left w:val="nil"/>
              <w:bottom w:val="nil"/>
              <w:right w:val="nil"/>
            </w:tcBorders>
            <w:shd w:val="clear" w:color="auto" w:fill="auto"/>
            <w:noWrap/>
            <w:vAlign w:val="bottom"/>
            <w:hideMark/>
          </w:tcPr>
          <w:p w14:paraId="62861C5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94</w:t>
            </w:r>
          </w:p>
        </w:tc>
        <w:tc>
          <w:tcPr>
            <w:tcW w:w="2154" w:type="dxa"/>
            <w:tcBorders>
              <w:top w:val="nil"/>
              <w:left w:val="nil"/>
              <w:bottom w:val="nil"/>
              <w:right w:val="nil"/>
            </w:tcBorders>
            <w:shd w:val="clear" w:color="auto" w:fill="auto"/>
            <w:noWrap/>
            <w:vAlign w:val="bottom"/>
            <w:hideMark/>
          </w:tcPr>
          <w:p w14:paraId="4DF9650F"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Crotone</w:t>
            </w:r>
          </w:p>
        </w:tc>
        <w:tc>
          <w:tcPr>
            <w:tcW w:w="1000" w:type="dxa"/>
            <w:tcBorders>
              <w:top w:val="nil"/>
              <w:left w:val="nil"/>
              <w:bottom w:val="nil"/>
              <w:right w:val="nil"/>
            </w:tcBorders>
            <w:shd w:val="clear" w:color="auto" w:fill="auto"/>
            <w:noWrap/>
            <w:vAlign w:val="bottom"/>
            <w:hideMark/>
          </w:tcPr>
          <w:p w14:paraId="73A6C02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16.607,87</w:t>
            </w:r>
          </w:p>
        </w:tc>
        <w:tc>
          <w:tcPr>
            <w:tcW w:w="1140" w:type="dxa"/>
            <w:tcBorders>
              <w:top w:val="nil"/>
              <w:left w:val="nil"/>
              <w:bottom w:val="nil"/>
              <w:right w:val="single" w:sz="8" w:space="0" w:color="auto"/>
            </w:tcBorders>
            <w:shd w:val="clear" w:color="auto" w:fill="auto"/>
            <w:noWrap/>
            <w:vAlign w:val="bottom"/>
            <w:hideMark/>
          </w:tcPr>
          <w:p w14:paraId="5F273C0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r>
      <w:tr w:rsidR="00600745" w:rsidRPr="00600745" w14:paraId="2058F85A"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5C3B938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41</w:t>
            </w:r>
          </w:p>
        </w:tc>
        <w:tc>
          <w:tcPr>
            <w:tcW w:w="2324" w:type="dxa"/>
            <w:tcBorders>
              <w:top w:val="nil"/>
              <w:left w:val="nil"/>
              <w:bottom w:val="nil"/>
              <w:right w:val="nil"/>
            </w:tcBorders>
            <w:shd w:val="clear" w:color="auto" w:fill="auto"/>
            <w:noWrap/>
            <w:vAlign w:val="bottom"/>
            <w:hideMark/>
          </w:tcPr>
          <w:p w14:paraId="74981256"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Alessandria</w:t>
            </w:r>
          </w:p>
        </w:tc>
        <w:tc>
          <w:tcPr>
            <w:tcW w:w="1000" w:type="dxa"/>
            <w:tcBorders>
              <w:top w:val="nil"/>
              <w:left w:val="nil"/>
              <w:bottom w:val="nil"/>
              <w:right w:val="nil"/>
            </w:tcBorders>
            <w:shd w:val="clear" w:color="auto" w:fill="auto"/>
            <w:noWrap/>
            <w:vAlign w:val="bottom"/>
            <w:hideMark/>
          </w:tcPr>
          <w:p w14:paraId="09045B1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26.821,87</w:t>
            </w:r>
          </w:p>
        </w:tc>
        <w:tc>
          <w:tcPr>
            <w:tcW w:w="1080" w:type="dxa"/>
            <w:tcBorders>
              <w:top w:val="nil"/>
              <w:left w:val="nil"/>
              <w:bottom w:val="nil"/>
              <w:right w:val="single" w:sz="8" w:space="0" w:color="auto"/>
            </w:tcBorders>
            <w:shd w:val="clear" w:color="auto" w:fill="auto"/>
            <w:noWrap/>
            <w:vAlign w:val="bottom"/>
            <w:hideMark/>
          </w:tcPr>
          <w:p w14:paraId="07273FE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w:t>
            </w:r>
          </w:p>
        </w:tc>
        <w:tc>
          <w:tcPr>
            <w:tcW w:w="443" w:type="dxa"/>
            <w:tcBorders>
              <w:top w:val="nil"/>
              <w:left w:val="nil"/>
              <w:bottom w:val="nil"/>
              <w:right w:val="nil"/>
            </w:tcBorders>
            <w:shd w:val="clear" w:color="auto" w:fill="auto"/>
            <w:noWrap/>
            <w:vAlign w:val="bottom"/>
            <w:hideMark/>
          </w:tcPr>
          <w:p w14:paraId="07CC0DE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95</w:t>
            </w:r>
          </w:p>
        </w:tc>
        <w:tc>
          <w:tcPr>
            <w:tcW w:w="2154" w:type="dxa"/>
            <w:tcBorders>
              <w:top w:val="nil"/>
              <w:left w:val="nil"/>
              <w:bottom w:val="nil"/>
              <w:right w:val="nil"/>
            </w:tcBorders>
            <w:shd w:val="clear" w:color="auto" w:fill="auto"/>
            <w:noWrap/>
            <w:vAlign w:val="bottom"/>
            <w:hideMark/>
          </w:tcPr>
          <w:p w14:paraId="3A3E80EE"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Brindisi</w:t>
            </w:r>
          </w:p>
        </w:tc>
        <w:tc>
          <w:tcPr>
            <w:tcW w:w="1000" w:type="dxa"/>
            <w:tcBorders>
              <w:top w:val="nil"/>
              <w:left w:val="nil"/>
              <w:bottom w:val="nil"/>
              <w:right w:val="nil"/>
            </w:tcBorders>
            <w:shd w:val="clear" w:color="auto" w:fill="auto"/>
            <w:noWrap/>
            <w:vAlign w:val="bottom"/>
            <w:hideMark/>
          </w:tcPr>
          <w:p w14:paraId="0AE509C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16.549,51</w:t>
            </w:r>
          </w:p>
        </w:tc>
        <w:tc>
          <w:tcPr>
            <w:tcW w:w="1140" w:type="dxa"/>
            <w:tcBorders>
              <w:top w:val="nil"/>
              <w:left w:val="nil"/>
              <w:bottom w:val="nil"/>
              <w:right w:val="single" w:sz="8" w:space="0" w:color="auto"/>
            </w:tcBorders>
            <w:shd w:val="clear" w:color="auto" w:fill="auto"/>
            <w:noWrap/>
            <w:vAlign w:val="bottom"/>
            <w:hideMark/>
          </w:tcPr>
          <w:p w14:paraId="0FB4A63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w:t>
            </w:r>
          </w:p>
        </w:tc>
      </w:tr>
      <w:tr w:rsidR="00600745" w:rsidRPr="00600745" w14:paraId="18D555D2"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103C57E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42</w:t>
            </w:r>
          </w:p>
        </w:tc>
        <w:tc>
          <w:tcPr>
            <w:tcW w:w="2324" w:type="dxa"/>
            <w:tcBorders>
              <w:top w:val="nil"/>
              <w:left w:val="nil"/>
              <w:bottom w:val="nil"/>
              <w:right w:val="nil"/>
            </w:tcBorders>
            <w:shd w:val="clear" w:color="auto" w:fill="auto"/>
            <w:noWrap/>
            <w:vAlign w:val="bottom"/>
            <w:hideMark/>
          </w:tcPr>
          <w:p w14:paraId="7605367F"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Arezzo</w:t>
            </w:r>
          </w:p>
        </w:tc>
        <w:tc>
          <w:tcPr>
            <w:tcW w:w="1000" w:type="dxa"/>
            <w:tcBorders>
              <w:top w:val="nil"/>
              <w:left w:val="nil"/>
              <w:bottom w:val="nil"/>
              <w:right w:val="nil"/>
            </w:tcBorders>
            <w:shd w:val="clear" w:color="auto" w:fill="auto"/>
            <w:noWrap/>
            <w:vAlign w:val="bottom"/>
            <w:hideMark/>
          </w:tcPr>
          <w:p w14:paraId="4108907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26.574,04</w:t>
            </w:r>
          </w:p>
        </w:tc>
        <w:tc>
          <w:tcPr>
            <w:tcW w:w="1080" w:type="dxa"/>
            <w:tcBorders>
              <w:top w:val="nil"/>
              <w:left w:val="nil"/>
              <w:bottom w:val="nil"/>
              <w:right w:val="single" w:sz="8" w:space="0" w:color="auto"/>
            </w:tcBorders>
            <w:shd w:val="clear" w:color="auto" w:fill="auto"/>
            <w:noWrap/>
            <w:vAlign w:val="bottom"/>
            <w:hideMark/>
          </w:tcPr>
          <w:p w14:paraId="009ACF1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4E0879F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96</w:t>
            </w:r>
          </w:p>
        </w:tc>
        <w:tc>
          <w:tcPr>
            <w:tcW w:w="2154" w:type="dxa"/>
            <w:tcBorders>
              <w:top w:val="nil"/>
              <w:left w:val="nil"/>
              <w:bottom w:val="nil"/>
              <w:right w:val="nil"/>
            </w:tcBorders>
            <w:shd w:val="clear" w:color="auto" w:fill="auto"/>
            <w:noWrap/>
            <w:vAlign w:val="bottom"/>
            <w:hideMark/>
          </w:tcPr>
          <w:p w14:paraId="363C61FC"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Benevento</w:t>
            </w:r>
          </w:p>
        </w:tc>
        <w:tc>
          <w:tcPr>
            <w:tcW w:w="1000" w:type="dxa"/>
            <w:tcBorders>
              <w:top w:val="nil"/>
              <w:left w:val="nil"/>
              <w:bottom w:val="nil"/>
              <w:right w:val="nil"/>
            </w:tcBorders>
            <w:shd w:val="clear" w:color="auto" w:fill="auto"/>
            <w:noWrap/>
            <w:vAlign w:val="bottom"/>
            <w:hideMark/>
          </w:tcPr>
          <w:p w14:paraId="4587D0A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16.434,31</w:t>
            </w:r>
          </w:p>
        </w:tc>
        <w:tc>
          <w:tcPr>
            <w:tcW w:w="1140" w:type="dxa"/>
            <w:tcBorders>
              <w:top w:val="nil"/>
              <w:left w:val="nil"/>
              <w:bottom w:val="nil"/>
              <w:right w:val="single" w:sz="8" w:space="0" w:color="auto"/>
            </w:tcBorders>
            <w:shd w:val="clear" w:color="auto" w:fill="auto"/>
            <w:noWrap/>
            <w:vAlign w:val="bottom"/>
            <w:hideMark/>
          </w:tcPr>
          <w:p w14:paraId="065C2A74"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3</w:t>
            </w:r>
          </w:p>
        </w:tc>
      </w:tr>
      <w:tr w:rsidR="00600745" w:rsidRPr="00600745" w14:paraId="45FEC16A"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4B4A1D2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43</w:t>
            </w:r>
          </w:p>
        </w:tc>
        <w:tc>
          <w:tcPr>
            <w:tcW w:w="2324" w:type="dxa"/>
            <w:tcBorders>
              <w:top w:val="nil"/>
              <w:left w:val="nil"/>
              <w:bottom w:val="nil"/>
              <w:right w:val="nil"/>
            </w:tcBorders>
            <w:shd w:val="clear" w:color="auto" w:fill="auto"/>
            <w:noWrap/>
            <w:vAlign w:val="bottom"/>
            <w:hideMark/>
          </w:tcPr>
          <w:p w14:paraId="754E108D"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Cagliari</w:t>
            </w:r>
          </w:p>
        </w:tc>
        <w:tc>
          <w:tcPr>
            <w:tcW w:w="1000" w:type="dxa"/>
            <w:tcBorders>
              <w:top w:val="nil"/>
              <w:left w:val="nil"/>
              <w:bottom w:val="nil"/>
              <w:right w:val="nil"/>
            </w:tcBorders>
            <w:shd w:val="clear" w:color="auto" w:fill="auto"/>
            <w:noWrap/>
            <w:vAlign w:val="bottom"/>
            <w:hideMark/>
          </w:tcPr>
          <w:p w14:paraId="4EDDDCD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26.259,00</w:t>
            </w:r>
          </w:p>
        </w:tc>
        <w:tc>
          <w:tcPr>
            <w:tcW w:w="1080" w:type="dxa"/>
            <w:tcBorders>
              <w:top w:val="nil"/>
              <w:left w:val="nil"/>
              <w:bottom w:val="nil"/>
              <w:right w:val="single" w:sz="8" w:space="0" w:color="auto"/>
            </w:tcBorders>
            <w:shd w:val="clear" w:color="auto" w:fill="auto"/>
            <w:noWrap/>
            <w:vAlign w:val="bottom"/>
            <w:hideMark/>
          </w:tcPr>
          <w:p w14:paraId="306D37D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c>
          <w:tcPr>
            <w:tcW w:w="443" w:type="dxa"/>
            <w:tcBorders>
              <w:top w:val="nil"/>
              <w:left w:val="nil"/>
              <w:bottom w:val="nil"/>
              <w:right w:val="nil"/>
            </w:tcBorders>
            <w:shd w:val="clear" w:color="auto" w:fill="auto"/>
            <w:noWrap/>
            <w:vAlign w:val="bottom"/>
            <w:hideMark/>
          </w:tcPr>
          <w:p w14:paraId="6903D48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97</w:t>
            </w:r>
          </w:p>
        </w:tc>
        <w:tc>
          <w:tcPr>
            <w:tcW w:w="2154" w:type="dxa"/>
            <w:tcBorders>
              <w:top w:val="nil"/>
              <w:left w:val="nil"/>
              <w:bottom w:val="nil"/>
              <w:right w:val="nil"/>
            </w:tcBorders>
            <w:shd w:val="clear" w:color="auto" w:fill="auto"/>
            <w:noWrap/>
            <w:vAlign w:val="bottom"/>
            <w:hideMark/>
          </w:tcPr>
          <w:p w14:paraId="52FCF2F8"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Reggio di Calabria</w:t>
            </w:r>
          </w:p>
        </w:tc>
        <w:tc>
          <w:tcPr>
            <w:tcW w:w="1000" w:type="dxa"/>
            <w:tcBorders>
              <w:top w:val="nil"/>
              <w:left w:val="nil"/>
              <w:bottom w:val="nil"/>
              <w:right w:val="nil"/>
            </w:tcBorders>
            <w:shd w:val="clear" w:color="auto" w:fill="auto"/>
            <w:noWrap/>
            <w:vAlign w:val="bottom"/>
            <w:hideMark/>
          </w:tcPr>
          <w:p w14:paraId="4D01E93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16.237,12</w:t>
            </w:r>
          </w:p>
        </w:tc>
        <w:tc>
          <w:tcPr>
            <w:tcW w:w="1140" w:type="dxa"/>
            <w:tcBorders>
              <w:top w:val="nil"/>
              <w:left w:val="nil"/>
              <w:bottom w:val="nil"/>
              <w:right w:val="single" w:sz="8" w:space="0" w:color="auto"/>
            </w:tcBorders>
            <w:shd w:val="clear" w:color="auto" w:fill="auto"/>
            <w:noWrap/>
            <w:vAlign w:val="bottom"/>
            <w:hideMark/>
          </w:tcPr>
          <w:p w14:paraId="5D5CA3A4"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r>
      <w:tr w:rsidR="00600745" w:rsidRPr="00600745" w14:paraId="7633410D"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594EDC7E"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44</w:t>
            </w:r>
          </w:p>
        </w:tc>
        <w:tc>
          <w:tcPr>
            <w:tcW w:w="2324" w:type="dxa"/>
            <w:tcBorders>
              <w:top w:val="nil"/>
              <w:left w:val="nil"/>
              <w:bottom w:val="nil"/>
              <w:right w:val="nil"/>
            </w:tcBorders>
            <w:shd w:val="clear" w:color="auto" w:fill="auto"/>
            <w:noWrap/>
            <w:vAlign w:val="bottom"/>
            <w:hideMark/>
          </w:tcPr>
          <w:p w14:paraId="416DB793"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Gorizia</w:t>
            </w:r>
          </w:p>
        </w:tc>
        <w:tc>
          <w:tcPr>
            <w:tcW w:w="1000" w:type="dxa"/>
            <w:tcBorders>
              <w:top w:val="nil"/>
              <w:left w:val="nil"/>
              <w:bottom w:val="nil"/>
              <w:right w:val="nil"/>
            </w:tcBorders>
            <w:shd w:val="clear" w:color="auto" w:fill="auto"/>
            <w:noWrap/>
            <w:vAlign w:val="bottom"/>
            <w:hideMark/>
          </w:tcPr>
          <w:p w14:paraId="2928482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26.027,08</w:t>
            </w:r>
          </w:p>
        </w:tc>
        <w:tc>
          <w:tcPr>
            <w:tcW w:w="1080" w:type="dxa"/>
            <w:tcBorders>
              <w:top w:val="nil"/>
              <w:left w:val="nil"/>
              <w:bottom w:val="nil"/>
              <w:right w:val="single" w:sz="8" w:space="0" w:color="auto"/>
            </w:tcBorders>
            <w:shd w:val="clear" w:color="auto" w:fill="auto"/>
            <w:noWrap/>
            <w:vAlign w:val="bottom"/>
            <w:hideMark/>
          </w:tcPr>
          <w:p w14:paraId="09652AD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c>
          <w:tcPr>
            <w:tcW w:w="443" w:type="dxa"/>
            <w:tcBorders>
              <w:top w:val="nil"/>
              <w:left w:val="nil"/>
              <w:bottom w:val="nil"/>
              <w:right w:val="nil"/>
            </w:tcBorders>
            <w:shd w:val="clear" w:color="auto" w:fill="auto"/>
            <w:noWrap/>
            <w:vAlign w:val="bottom"/>
            <w:hideMark/>
          </w:tcPr>
          <w:p w14:paraId="0929E4D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98</w:t>
            </w:r>
          </w:p>
        </w:tc>
        <w:tc>
          <w:tcPr>
            <w:tcW w:w="2154" w:type="dxa"/>
            <w:tcBorders>
              <w:top w:val="nil"/>
              <w:left w:val="nil"/>
              <w:bottom w:val="nil"/>
              <w:right w:val="nil"/>
            </w:tcBorders>
            <w:shd w:val="clear" w:color="auto" w:fill="auto"/>
            <w:noWrap/>
            <w:vAlign w:val="bottom"/>
            <w:hideMark/>
          </w:tcPr>
          <w:p w14:paraId="273D8279"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Caserta</w:t>
            </w:r>
          </w:p>
        </w:tc>
        <w:tc>
          <w:tcPr>
            <w:tcW w:w="1000" w:type="dxa"/>
            <w:tcBorders>
              <w:top w:val="nil"/>
              <w:left w:val="nil"/>
              <w:bottom w:val="nil"/>
              <w:right w:val="nil"/>
            </w:tcBorders>
            <w:shd w:val="clear" w:color="auto" w:fill="auto"/>
            <w:noWrap/>
            <w:vAlign w:val="bottom"/>
            <w:hideMark/>
          </w:tcPr>
          <w:p w14:paraId="7DC3186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16.232,48</w:t>
            </w:r>
          </w:p>
        </w:tc>
        <w:tc>
          <w:tcPr>
            <w:tcW w:w="1140" w:type="dxa"/>
            <w:tcBorders>
              <w:top w:val="nil"/>
              <w:left w:val="nil"/>
              <w:bottom w:val="nil"/>
              <w:right w:val="single" w:sz="8" w:space="0" w:color="auto"/>
            </w:tcBorders>
            <w:shd w:val="clear" w:color="auto" w:fill="auto"/>
            <w:noWrap/>
            <w:vAlign w:val="bottom"/>
            <w:hideMark/>
          </w:tcPr>
          <w:p w14:paraId="408CD77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50BB6C43"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275398D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45</w:t>
            </w:r>
          </w:p>
        </w:tc>
        <w:tc>
          <w:tcPr>
            <w:tcW w:w="2324" w:type="dxa"/>
            <w:tcBorders>
              <w:top w:val="nil"/>
              <w:left w:val="nil"/>
              <w:bottom w:val="nil"/>
              <w:right w:val="nil"/>
            </w:tcBorders>
            <w:shd w:val="clear" w:color="auto" w:fill="auto"/>
            <w:noWrap/>
            <w:vAlign w:val="bottom"/>
            <w:hideMark/>
          </w:tcPr>
          <w:p w14:paraId="4D1B5987"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Como</w:t>
            </w:r>
          </w:p>
        </w:tc>
        <w:tc>
          <w:tcPr>
            <w:tcW w:w="1000" w:type="dxa"/>
            <w:tcBorders>
              <w:top w:val="nil"/>
              <w:left w:val="nil"/>
              <w:bottom w:val="nil"/>
              <w:right w:val="nil"/>
            </w:tcBorders>
            <w:shd w:val="clear" w:color="auto" w:fill="auto"/>
            <w:noWrap/>
            <w:vAlign w:val="bottom"/>
            <w:hideMark/>
          </w:tcPr>
          <w:p w14:paraId="2D467FB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25.965,96</w:t>
            </w:r>
          </w:p>
        </w:tc>
        <w:tc>
          <w:tcPr>
            <w:tcW w:w="1080" w:type="dxa"/>
            <w:tcBorders>
              <w:top w:val="nil"/>
              <w:left w:val="nil"/>
              <w:bottom w:val="nil"/>
              <w:right w:val="single" w:sz="8" w:space="0" w:color="auto"/>
            </w:tcBorders>
            <w:shd w:val="clear" w:color="auto" w:fill="auto"/>
            <w:noWrap/>
            <w:vAlign w:val="bottom"/>
            <w:hideMark/>
          </w:tcPr>
          <w:p w14:paraId="049D4F2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21F1E78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99</w:t>
            </w:r>
          </w:p>
        </w:tc>
        <w:tc>
          <w:tcPr>
            <w:tcW w:w="2154" w:type="dxa"/>
            <w:tcBorders>
              <w:top w:val="nil"/>
              <w:left w:val="nil"/>
              <w:bottom w:val="nil"/>
              <w:right w:val="nil"/>
            </w:tcBorders>
            <w:shd w:val="clear" w:color="auto" w:fill="auto"/>
            <w:noWrap/>
            <w:vAlign w:val="bottom"/>
            <w:hideMark/>
          </w:tcPr>
          <w:p w14:paraId="584B0805"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Lecce</w:t>
            </w:r>
          </w:p>
        </w:tc>
        <w:tc>
          <w:tcPr>
            <w:tcW w:w="1000" w:type="dxa"/>
            <w:tcBorders>
              <w:top w:val="nil"/>
              <w:left w:val="nil"/>
              <w:bottom w:val="nil"/>
              <w:right w:val="nil"/>
            </w:tcBorders>
            <w:shd w:val="clear" w:color="auto" w:fill="auto"/>
            <w:noWrap/>
            <w:vAlign w:val="bottom"/>
            <w:hideMark/>
          </w:tcPr>
          <w:p w14:paraId="517F7E9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15.839,08</w:t>
            </w:r>
          </w:p>
        </w:tc>
        <w:tc>
          <w:tcPr>
            <w:tcW w:w="1140" w:type="dxa"/>
            <w:tcBorders>
              <w:top w:val="nil"/>
              <w:left w:val="nil"/>
              <w:bottom w:val="nil"/>
              <w:right w:val="single" w:sz="8" w:space="0" w:color="auto"/>
            </w:tcBorders>
            <w:shd w:val="clear" w:color="auto" w:fill="auto"/>
            <w:noWrap/>
            <w:vAlign w:val="bottom"/>
            <w:hideMark/>
          </w:tcPr>
          <w:p w14:paraId="2328010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r>
      <w:tr w:rsidR="00600745" w:rsidRPr="00600745" w14:paraId="7CC1429F"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41352B9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46</w:t>
            </w:r>
          </w:p>
        </w:tc>
        <w:tc>
          <w:tcPr>
            <w:tcW w:w="2324" w:type="dxa"/>
            <w:tcBorders>
              <w:top w:val="nil"/>
              <w:left w:val="nil"/>
              <w:bottom w:val="nil"/>
              <w:right w:val="nil"/>
            </w:tcBorders>
            <w:shd w:val="clear" w:color="auto" w:fill="auto"/>
            <w:noWrap/>
            <w:vAlign w:val="bottom"/>
            <w:hideMark/>
          </w:tcPr>
          <w:p w14:paraId="2FD542BA"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Lucca</w:t>
            </w:r>
          </w:p>
        </w:tc>
        <w:tc>
          <w:tcPr>
            <w:tcW w:w="1000" w:type="dxa"/>
            <w:tcBorders>
              <w:top w:val="nil"/>
              <w:left w:val="nil"/>
              <w:bottom w:val="nil"/>
              <w:right w:val="nil"/>
            </w:tcBorders>
            <w:shd w:val="clear" w:color="auto" w:fill="auto"/>
            <w:noWrap/>
            <w:vAlign w:val="bottom"/>
            <w:hideMark/>
          </w:tcPr>
          <w:p w14:paraId="236DA66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25.716,22</w:t>
            </w:r>
          </w:p>
        </w:tc>
        <w:tc>
          <w:tcPr>
            <w:tcW w:w="1080" w:type="dxa"/>
            <w:tcBorders>
              <w:top w:val="nil"/>
              <w:left w:val="nil"/>
              <w:bottom w:val="nil"/>
              <w:right w:val="single" w:sz="8" w:space="0" w:color="auto"/>
            </w:tcBorders>
            <w:shd w:val="clear" w:color="auto" w:fill="auto"/>
            <w:noWrap/>
            <w:vAlign w:val="bottom"/>
            <w:hideMark/>
          </w:tcPr>
          <w:p w14:paraId="40946B5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18E5F65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100</w:t>
            </w:r>
          </w:p>
        </w:tc>
        <w:tc>
          <w:tcPr>
            <w:tcW w:w="2154" w:type="dxa"/>
            <w:tcBorders>
              <w:top w:val="nil"/>
              <w:left w:val="nil"/>
              <w:bottom w:val="nil"/>
              <w:right w:val="nil"/>
            </w:tcBorders>
            <w:shd w:val="clear" w:color="auto" w:fill="auto"/>
            <w:noWrap/>
            <w:vAlign w:val="bottom"/>
            <w:hideMark/>
          </w:tcPr>
          <w:p w14:paraId="4928415F"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Trapani</w:t>
            </w:r>
          </w:p>
        </w:tc>
        <w:tc>
          <w:tcPr>
            <w:tcW w:w="1000" w:type="dxa"/>
            <w:tcBorders>
              <w:top w:val="nil"/>
              <w:left w:val="nil"/>
              <w:bottom w:val="nil"/>
              <w:right w:val="nil"/>
            </w:tcBorders>
            <w:shd w:val="clear" w:color="auto" w:fill="auto"/>
            <w:noWrap/>
            <w:vAlign w:val="bottom"/>
            <w:hideMark/>
          </w:tcPr>
          <w:p w14:paraId="2860A43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15.334,28</w:t>
            </w:r>
          </w:p>
        </w:tc>
        <w:tc>
          <w:tcPr>
            <w:tcW w:w="1140" w:type="dxa"/>
            <w:tcBorders>
              <w:top w:val="nil"/>
              <w:left w:val="nil"/>
              <w:bottom w:val="nil"/>
              <w:right w:val="single" w:sz="8" w:space="0" w:color="auto"/>
            </w:tcBorders>
            <w:shd w:val="clear" w:color="auto" w:fill="auto"/>
            <w:noWrap/>
            <w:vAlign w:val="bottom"/>
            <w:hideMark/>
          </w:tcPr>
          <w:p w14:paraId="1E88AF7E"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57733CDB"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1D25C36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47</w:t>
            </w:r>
          </w:p>
        </w:tc>
        <w:tc>
          <w:tcPr>
            <w:tcW w:w="2324" w:type="dxa"/>
            <w:tcBorders>
              <w:top w:val="nil"/>
              <w:left w:val="nil"/>
              <w:bottom w:val="nil"/>
              <w:right w:val="nil"/>
            </w:tcBorders>
            <w:shd w:val="clear" w:color="auto" w:fill="auto"/>
            <w:noWrap/>
            <w:vAlign w:val="bottom"/>
            <w:hideMark/>
          </w:tcPr>
          <w:p w14:paraId="4CC600C9"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Vercelli</w:t>
            </w:r>
          </w:p>
        </w:tc>
        <w:tc>
          <w:tcPr>
            <w:tcW w:w="1000" w:type="dxa"/>
            <w:tcBorders>
              <w:top w:val="nil"/>
              <w:left w:val="nil"/>
              <w:bottom w:val="nil"/>
              <w:right w:val="nil"/>
            </w:tcBorders>
            <w:shd w:val="clear" w:color="auto" w:fill="auto"/>
            <w:noWrap/>
            <w:vAlign w:val="bottom"/>
            <w:hideMark/>
          </w:tcPr>
          <w:p w14:paraId="63190BF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25.646,02</w:t>
            </w:r>
          </w:p>
        </w:tc>
        <w:tc>
          <w:tcPr>
            <w:tcW w:w="1080" w:type="dxa"/>
            <w:tcBorders>
              <w:top w:val="nil"/>
              <w:left w:val="nil"/>
              <w:bottom w:val="nil"/>
              <w:right w:val="single" w:sz="8" w:space="0" w:color="auto"/>
            </w:tcBorders>
            <w:shd w:val="clear" w:color="auto" w:fill="auto"/>
            <w:noWrap/>
            <w:vAlign w:val="bottom"/>
            <w:hideMark/>
          </w:tcPr>
          <w:p w14:paraId="52ECE09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6471D7B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101</w:t>
            </w:r>
          </w:p>
        </w:tc>
        <w:tc>
          <w:tcPr>
            <w:tcW w:w="2154" w:type="dxa"/>
            <w:tcBorders>
              <w:top w:val="nil"/>
              <w:left w:val="nil"/>
              <w:bottom w:val="nil"/>
              <w:right w:val="nil"/>
            </w:tcBorders>
            <w:shd w:val="clear" w:color="auto" w:fill="auto"/>
            <w:noWrap/>
            <w:vAlign w:val="bottom"/>
            <w:hideMark/>
          </w:tcPr>
          <w:p w14:paraId="7E6DDB99"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Enna</w:t>
            </w:r>
          </w:p>
        </w:tc>
        <w:tc>
          <w:tcPr>
            <w:tcW w:w="1000" w:type="dxa"/>
            <w:tcBorders>
              <w:top w:val="nil"/>
              <w:left w:val="nil"/>
              <w:bottom w:val="nil"/>
              <w:right w:val="nil"/>
            </w:tcBorders>
            <w:shd w:val="clear" w:color="auto" w:fill="auto"/>
            <w:noWrap/>
            <w:vAlign w:val="bottom"/>
            <w:hideMark/>
          </w:tcPr>
          <w:p w14:paraId="578E856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15.258,89</w:t>
            </w:r>
          </w:p>
        </w:tc>
        <w:tc>
          <w:tcPr>
            <w:tcW w:w="1140" w:type="dxa"/>
            <w:tcBorders>
              <w:top w:val="nil"/>
              <w:left w:val="nil"/>
              <w:bottom w:val="nil"/>
              <w:right w:val="single" w:sz="8" w:space="0" w:color="auto"/>
            </w:tcBorders>
            <w:shd w:val="clear" w:color="auto" w:fill="auto"/>
            <w:noWrap/>
            <w:vAlign w:val="bottom"/>
            <w:hideMark/>
          </w:tcPr>
          <w:p w14:paraId="11A08DF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r>
      <w:tr w:rsidR="00600745" w:rsidRPr="00600745" w14:paraId="3F7EBF82"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7AF28E9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48</w:t>
            </w:r>
          </w:p>
        </w:tc>
        <w:tc>
          <w:tcPr>
            <w:tcW w:w="2324" w:type="dxa"/>
            <w:tcBorders>
              <w:top w:val="nil"/>
              <w:left w:val="nil"/>
              <w:bottom w:val="nil"/>
              <w:right w:val="nil"/>
            </w:tcBorders>
            <w:shd w:val="clear" w:color="auto" w:fill="auto"/>
            <w:noWrap/>
            <w:vAlign w:val="bottom"/>
            <w:hideMark/>
          </w:tcPr>
          <w:p w14:paraId="46566DA3"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Savona</w:t>
            </w:r>
          </w:p>
        </w:tc>
        <w:tc>
          <w:tcPr>
            <w:tcW w:w="1000" w:type="dxa"/>
            <w:tcBorders>
              <w:top w:val="nil"/>
              <w:left w:val="nil"/>
              <w:bottom w:val="nil"/>
              <w:right w:val="nil"/>
            </w:tcBorders>
            <w:shd w:val="clear" w:color="auto" w:fill="auto"/>
            <w:noWrap/>
            <w:vAlign w:val="bottom"/>
            <w:hideMark/>
          </w:tcPr>
          <w:p w14:paraId="7CB8D41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25.626,11</w:t>
            </w:r>
          </w:p>
        </w:tc>
        <w:tc>
          <w:tcPr>
            <w:tcW w:w="1080" w:type="dxa"/>
            <w:tcBorders>
              <w:top w:val="nil"/>
              <w:left w:val="nil"/>
              <w:bottom w:val="nil"/>
              <w:right w:val="single" w:sz="8" w:space="0" w:color="auto"/>
            </w:tcBorders>
            <w:shd w:val="clear" w:color="auto" w:fill="auto"/>
            <w:noWrap/>
            <w:vAlign w:val="bottom"/>
            <w:hideMark/>
          </w:tcPr>
          <w:p w14:paraId="59AC5F7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c>
          <w:tcPr>
            <w:tcW w:w="443" w:type="dxa"/>
            <w:tcBorders>
              <w:top w:val="nil"/>
              <w:left w:val="nil"/>
              <w:bottom w:val="nil"/>
              <w:right w:val="nil"/>
            </w:tcBorders>
            <w:shd w:val="clear" w:color="auto" w:fill="auto"/>
            <w:noWrap/>
            <w:vAlign w:val="bottom"/>
            <w:hideMark/>
          </w:tcPr>
          <w:p w14:paraId="44D69F8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102</w:t>
            </w:r>
          </w:p>
        </w:tc>
        <w:tc>
          <w:tcPr>
            <w:tcW w:w="2154" w:type="dxa"/>
            <w:tcBorders>
              <w:top w:val="nil"/>
              <w:left w:val="nil"/>
              <w:bottom w:val="nil"/>
              <w:right w:val="nil"/>
            </w:tcBorders>
            <w:shd w:val="clear" w:color="auto" w:fill="auto"/>
            <w:noWrap/>
            <w:vAlign w:val="bottom"/>
            <w:hideMark/>
          </w:tcPr>
          <w:p w14:paraId="78B22B2B"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Vibo Valentia</w:t>
            </w:r>
          </w:p>
        </w:tc>
        <w:tc>
          <w:tcPr>
            <w:tcW w:w="1000" w:type="dxa"/>
            <w:tcBorders>
              <w:top w:val="nil"/>
              <w:left w:val="nil"/>
              <w:bottom w:val="nil"/>
              <w:right w:val="nil"/>
            </w:tcBorders>
            <w:shd w:val="clear" w:color="auto" w:fill="auto"/>
            <w:noWrap/>
            <w:vAlign w:val="bottom"/>
            <w:hideMark/>
          </w:tcPr>
          <w:p w14:paraId="662F14DE"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14.942,53</w:t>
            </w:r>
          </w:p>
        </w:tc>
        <w:tc>
          <w:tcPr>
            <w:tcW w:w="1140" w:type="dxa"/>
            <w:tcBorders>
              <w:top w:val="nil"/>
              <w:left w:val="nil"/>
              <w:bottom w:val="nil"/>
              <w:right w:val="single" w:sz="8" w:space="0" w:color="auto"/>
            </w:tcBorders>
            <w:shd w:val="clear" w:color="auto" w:fill="auto"/>
            <w:noWrap/>
            <w:vAlign w:val="bottom"/>
            <w:hideMark/>
          </w:tcPr>
          <w:p w14:paraId="3740796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4A4A3B4B"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7C85BC8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49</w:t>
            </w:r>
          </w:p>
        </w:tc>
        <w:tc>
          <w:tcPr>
            <w:tcW w:w="2324" w:type="dxa"/>
            <w:tcBorders>
              <w:top w:val="nil"/>
              <w:left w:val="nil"/>
              <w:bottom w:val="nil"/>
              <w:right w:val="nil"/>
            </w:tcBorders>
            <w:shd w:val="clear" w:color="auto" w:fill="auto"/>
            <w:noWrap/>
            <w:vAlign w:val="bottom"/>
            <w:hideMark/>
          </w:tcPr>
          <w:p w14:paraId="319FAE17"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Pesaro e Urbino</w:t>
            </w:r>
          </w:p>
        </w:tc>
        <w:tc>
          <w:tcPr>
            <w:tcW w:w="1000" w:type="dxa"/>
            <w:tcBorders>
              <w:top w:val="nil"/>
              <w:left w:val="nil"/>
              <w:bottom w:val="nil"/>
              <w:right w:val="nil"/>
            </w:tcBorders>
            <w:shd w:val="clear" w:color="auto" w:fill="auto"/>
            <w:noWrap/>
            <w:vAlign w:val="bottom"/>
            <w:hideMark/>
          </w:tcPr>
          <w:p w14:paraId="55E670C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25.587,65</w:t>
            </w:r>
          </w:p>
        </w:tc>
        <w:tc>
          <w:tcPr>
            <w:tcW w:w="1080" w:type="dxa"/>
            <w:tcBorders>
              <w:top w:val="nil"/>
              <w:left w:val="nil"/>
              <w:bottom w:val="nil"/>
              <w:right w:val="single" w:sz="8" w:space="0" w:color="auto"/>
            </w:tcBorders>
            <w:shd w:val="clear" w:color="auto" w:fill="auto"/>
            <w:noWrap/>
            <w:vAlign w:val="bottom"/>
            <w:hideMark/>
          </w:tcPr>
          <w:p w14:paraId="0482A7D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c>
          <w:tcPr>
            <w:tcW w:w="443" w:type="dxa"/>
            <w:tcBorders>
              <w:top w:val="nil"/>
              <w:left w:val="nil"/>
              <w:bottom w:val="nil"/>
              <w:right w:val="nil"/>
            </w:tcBorders>
            <w:shd w:val="clear" w:color="auto" w:fill="auto"/>
            <w:noWrap/>
            <w:vAlign w:val="bottom"/>
            <w:hideMark/>
          </w:tcPr>
          <w:p w14:paraId="236DB98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103</w:t>
            </w:r>
          </w:p>
        </w:tc>
        <w:tc>
          <w:tcPr>
            <w:tcW w:w="2154" w:type="dxa"/>
            <w:tcBorders>
              <w:top w:val="nil"/>
              <w:left w:val="nil"/>
              <w:bottom w:val="nil"/>
              <w:right w:val="nil"/>
            </w:tcBorders>
            <w:shd w:val="clear" w:color="auto" w:fill="auto"/>
            <w:noWrap/>
            <w:vAlign w:val="bottom"/>
            <w:hideMark/>
          </w:tcPr>
          <w:p w14:paraId="43722789"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Barletta-Andria-Trani</w:t>
            </w:r>
          </w:p>
        </w:tc>
        <w:tc>
          <w:tcPr>
            <w:tcW w:w="1000" w:type="dxa"/>
            <w:tcBorders>
              <w:top w:val="nil"/>
              <w:left w:val="nil"/>
              <w:bottom w:val="nil"/>
              <w:right w:val="nil"/>
            </w:tcBorders>
            <w:shd w:val="clear" w:color="auto" w:fill="auto"/>
            <w:noWrap/>
            <w:vAlign w:val="bottom"/>
            <w:hideMark/>
          </w:tcPr>
          <w:p w14:paraId="0D6389E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14.828,02</w:t>
            </w:r>
          </w:p>
        </w:tc>
        <w:tc>
          <w:tcPr>
            <w:tcW w:w="1140" w:type="dxa"/>
            <w:tcBorders>
              <w:top w:val="nil"/>
              <w:left w:val="nil"/>
              <w:bottom w:val="nil"/>
              <w:right w:val="single" w:sz="8" w:space="0" w:color="auto"/>
            </w:tcBorders>
            <w:shd w:val="clear" w:color="auto" w:fill="auto"/>
            <w:noWrap/>
            <w:vAlign w:val="bottom"/>
            <w:hideMark/>
          </w:tcPr>
          <w:p w14:paraId="3EAE930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r>
      <w:tr w:rsidR="00600745" w:rsidRPr="00600745" w14:paraId="76D38A79"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1CD1935A"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50</w:t>
            </w:r>
          </w:p>
        </w:tc>
        <w:tc>
          <w:tcPr>
            <w:tcW w:w="2324" w:type="dxa"/>
            <w:tcBorders>
              <w:top w:val="nil"/>
              <w:left w:val="nil"/>
              <w:bottom w:val="nil"/>
              <w:right w:val="nil"/>
            </w:tcBorders>
            <w:shd w:val="clear" w:color="auto" w:fill="auto"/>
            <w:noWrap/>
            <w:vAlign w:val="bottom"/>
            <w:hideMark/>
          </w:tcPr>
          <w:p w14:paraId="2F0E94C6"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Biella</w:t>
            </w:r>
          </w:p>
        </w:tc>
        <w:tc>
          <w:tcPr>
            <w:tcW w:w="1000" w:type="dxa"/>
            <w:tcBorders>
              <w:top w:val="nil"/>
              <w:left w:val="nil"/>
              <w:bottom w:val="nil"/>
              <w:right w:val="nil"/>
            </w:tcBorders>
            <w:shd w:val="clear" w:color="auto" w:fill="auto"/>
            <w:noWrap/>
            <w:vAlign w:val="bottom"/>
            <w:hideMark/>
          </w:tcPr>
          <w:p w14:paraId="5D6E48C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25.424,42</w:t>
            </w:r>
          </w:p>
        </w:tc>
        <w:tc>
          <w:tcPr>
            <w:tcW w:w="1080" w:type="dxa"/>
            <w:tcBorders>
              <w:top w:val="nil"/>
              <w:left w:val="nil"/>
              <w:bottom w:val="nil"/>
              <w:right w:val="single" w:sz="8" w:space="0" w:color="auto"/>
            </w:tcBorders>
            <w:shd w:val="clear" w:color="auto" w:fill="auto"/>
            <w:noWrap/>
            <w:vAlign w:val="bottom"/>
            <w:hideMark/>
          </w:tcPr>
          <w:p w14:paraId="6AEB7DE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nil"/>
              <w:right w:val="nil"/>
            </w:tcBorders>
            <w:shd w:val="clear" w:color="auto" w:fill="auto"/>
            <w:noWrap/>
            <w:vAlign w:val="bottom"/>
            <w:hideMark/>
          </w:tcPr>
          <w:p w14:paraId="674A88F8"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104</w:t>
            </w:r>
          </w:p>
        </w:tc>
        <w:tc>
          <w:tcPr>
            <w:tcW w:w="2154" w:type="dxa"/>
            <w:tcBorders>
              <w:top w:val="nil"/>
              <w:left w:val="nil"/>
              <w:bottom w:val="nil"/>
              <w:right w:val="nil"/>
            </w:tcBorders>
            <w:shd w:val="clear" w:color="auto" w:fill="auto"/>
            <w:noWrap/>
            <w:vAlign w:val="bottom"/>
            <w:hideMark/>
          </w:tcPr>
          <w:p w14:paraId="317581D0"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Caltanissetta</w:t>
            </w:r>
          </w:p>
        </w:tc>
        <w:tc>
          <w:tcPr>
            <w:tcW w:w="1000" w:type="dxa"/>
            <w:tcBorders>
              <w:top w:val="nil"/>
              <w:left w:val="nil"/>
              <w:bottom w:val="nil"/>
              <w:right w:val="nil"/>
            </w:tcBorders>
            <w:shd w:val="clear" w:color="auto" w:fill="auto"/>
            <w:noWrap/>
            <w:vAlign w:val="bottom"/>
            <w:hideMark/>
          </w:tcPr>
          <w:p w14:paraId="0401DBBD"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14.802,83</w:t>
            </w:r>
          </w:p>
        </w:tc>
        <w:tc>
          <w:tcPr>
            <w:tcW w:w="1140" w:type="dxa"/>
            <w:tcBorders>
              <w:top w:val="nil"/>
              <w:left w:val="nil"/>
              <w:bottom w:val="nil"/>
              <w:right w:val="single" w:sz="8" w:space="0" w:color="auto"/>
            </w:tcBorders>
            <w:shd w:val="clear" w:color="auto" w:fill="auto"/>
            <w:noWrap/>
            <w:vAlign w:val="bottom"/>
            <w:hideMark/>
          </w:tcPr>
          <w:p w14:paraId="5657869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r>
      <w:tr w:rsidR="00600745" w:rsidRPr="00600745" w14:paraId="073C7F69"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2C743D9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51</w:t>
            </w:r>
          </w:p>
        </w:tc>
        <w:tc>
          <w:tcPr>
            <w:tcW w:w="2324" w:type="dxa"/>
            <w:tcBorders>
              <w:top w:val="nil"/>
              <w:left w:val="nil"/>
              <w:bottom w:val="nil"/>
              <w:right w:val="nil"/>
            </w:tcBorders>
            <w:shd w:val="clear" w:color="auto" w:fill="auto"/>
            <w:noWrap/>
            <w:vAlign w:val="bottom"/>
            <w:hideMark/>
          </w:tcPr>
          <w:p w14:paraId="026AB607"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Lodi</w:t>
            </w:r>
          </w:p>
        </w:tc>
        <w:tc>
          <w:tcPr>
            <w:tcW w:w="1000" w:type="dxa"/>
            <w:tcBorders>
              <w:top w:val="nil"/>
              <w:left w:val="nil"/>
              <w:bottom w:val="nil"/>
              <w:right w:val="nil"/>
            </w:tcBorders>
            <w:shd w:val="clear" w:color="auto" w:fill="auto"/>
            <w:noWrap/>
            <w:vAlign w:val="bottom"/>
            <w:hideMark/>
          </w:tcPr>
          <w:p w14:paraId="52D5CF8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25.170,93</w:t>
            </w:r>
          </w:p>
        </w:tc>
        <w:tc>
          <w:tcPr>
            <w:tcW w:w="1080" w:type="dxa"/>
            <w:tcBorders>
              <w:top w:val="nil"/>
              <w:left w:val="nil"/>
              <w:bottom w:val="nil"/>
              <w:right w:val="single" w:sz="8" w:space="0" w:color="auto"/>
            </w:tcBorders>
            <w:shd w:val="clear" w:color="auto" w:fill="auto"/>
            <w:noWrap/>
            <w:vAlign w:val="bottom"/>
            <w:hideMark/>
          </w:tcPr>
          <w:p w14:paraId="6F887073"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c>
          <w:tcPr>
            <w:tcW w:w="443" w:type="dxa"/>
            <w:tcBorders>
              <w:top w:val="nil"/>
              <w:left w:val="nil"/>
              <w:bottom w:val="nil"/>
              <w:right w:val="nil"/>
            </w:tcBorders>
            <w:shd w:val="clear" w:color="auto" w:fill="auto"/>
            <w:noWrap/>
            <w:vAlign w:val="bottom"/>
            <w:hideMark/>
          </w:tcPr>
          <w:p w14:paraId="604ED1E7"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105</w:t>
            </w:r>
          </w:p>
        </w:tc>
        <w:tc>
          <w:tcPr>
            <w:tcW w:w="2154" w:type="dxa"/>
            <w:tcBorders>
              <w:top w:val="nil"/>
              <w:left w:val="nil"/>
              <w:bottom w:val="nil"/>
              <w:right w:val="nil"/>
            </w:tcBorders>
            <w:shd w:val="clear" w:color="auto" w:fill="auto"/>
            <w:noWrap/>
            <w:vAlign w:val="bottom"/>
            <w:hideMark/>
          </w:tcPr>
          <w:p w14:paraId="4AD77AEF"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Sud Sardegna</w:t>
            </w:r>
          </w:p>
        </w:tc>
        <w:tc>
          <w:tcPr>
            <w:tcW w:w="1000" w:type="dxa"/>
            <w:tcBorders>
              <w:top w:val="nil"/>
              <w:left w:val="nil"/>
              <w:bottom w:val="nil"/>
              <w:right w:val="nil"/>
            </w:tcBorders>
            <w:shd w:val="clear" w:color="auto" w:fill="auto"/>
            <w:noWrap/>
            <w:vAlign w:val="bottom"/>
            <w:hideMark/>
          </w:tcPr>
          <w:p w14:paraId="479411DE"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14.542,24</w:t>
            </w:r>
          </w:p>
        </w:tc>
        <w:tc>
          <w:tcPr>
            <w:tcW w:w="1140" w:type="dxa"/>
            <w:tcBorders>
              <w:top w:val="nil"/>
              <w:left w:val="nil"/>
              <w:bottom w:val="nil"/>
              <w:right w:val="single" w:sz="8" w:space="0" w:color="auto"/>
            </w:tcBorders>
            <w:shd w:val="clear" w:color="auto" w:fill="auto"/>
            <w:noWrap/>
            <w:vAlign w:val="bottom"/>
            <w:hideMark/>
          </w:tcPr>
          <w:p w14:paraId="167E52D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0384CE7E"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36F0A44E"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52</w:t>
            </w:r>
          </w:p>
        </w:tc>
        <w:tc>
          <w:tcPr>
            <w:tcW w:w="2324" w:type="dxa"/>
            <w:tcBorders>
              <w:top w:val="nil"/>
              <w:left w:val="nil"/>
              <w:bottom w:val="nil"/>
              <w:right w:val="nil"/>
            </w:tcBorders>
            <w:shd w:val="clear" w:color="auto" w:fill="auto"/>
            <w:noWrap/>
            <w:vAlign w:val="bottom"/>
            <w:hideMark/>
          </w:tcPr>
          <w:p w14:paraId="48DC10EA"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Perugia</w:t>
            </w:r>
          </w:p>
        </w:tc>
        <w:tc>
          <w:tcPr>
            <w:tcW w:w="1000" w:type="dxa"/>
            <w:tcBorders>
              <w:top w:val="nil"/>
              <w:left w:val="nil"/>
              <w:bottom w:val="nil"/>
              <w:right w:val="nil"/>
            </w:tcBorders>
            <w:shd w:val="clear" w:color="auto" w:fill="auto"/>
            <w:noWrap/>
            <w:vAlign w:val="bottom"/>
            <w:hideMark/>
          </w:tcPr>
          <w:p w14:paraId="3D81ACE9"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24.904,34</w:t>
            </w:r>
          </w:p>
        </w:tc>
        <w:tc>
          <w:tcPr>
            <w:tcW w:w="1080" w:type="dxa"/>
            <w:tcBorders>
              <w:top w:val="nil"/>
              <w:left w:val="nil"/>
              <w:bottom w:val="nil"/>
              <w:right w:val="single" w:sz="8" w:space="0" w:color="auto"/>
            </w:tcBorders>
            <w:shd w:val="clear" w:color="auto" w:fill="auto"/>
            <w:noWrap/>
            <w:vAlign w:val="bottom"/>
            <w:hideMark/>
          </w:tcPr>
          <w:p w14:paraId="32D3408F"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c>
          <w:tcPr>
            <w:tcW w:w="443" w:type="dxa"/>
            <w:tcBorders>
              <w:top w:val="nil"/>
              <w:left w:val="nil"/>
              <w:bottom w:val="nil"/>
              <w:right w:val="nil"/>
            </w:tcBorders>
            <w:shd w:val="clear" w:color="auto" w:fill="auto"/>
            <w:noWrap/>
            <w:vAlign w:val="bottom"/>
            <w:hideMark/>
          </w:tcPr>
          <w:p w14:paraId="6D60869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106</w:t>
            </w:r>
          </w:p>
        </w:tc>
        <w:tc>
          <w:tcPr>
            <w:tcW w:w="2154" w:type="dxa"/>
            <w:tcBorders>
              <w:top w:val="nil"/>
              <w:left w:val="nil"/>
              <w:bottom w:val="nil"/>
              <w:right w:val="nil"/>
            </w:tcBorders>
            <w:shd w:val="clear" w:color="auto" w:fill="auto"/>
            <w:noWrap/>
            <w:vAlign w:val="bottom"/>
            <w:hideMark/>
          </w:tcPr>
          <w:p w14:paraId="2B182420"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Cosenza</w:t>
            </w:r>
          </w:p>
        </w:tc>
        <w:tc>
          <w:tcPr>
            <w:tcW w:w="1000" w:type="dxa"/>
            <w:tcBorders>
              <w:top w:val="nil"/>
              <w:left w:val="nil"/>
              <w:bottom w:val="nil"/>
              <w:right w:val="nil"/>
            </w:tcBorders>
            <w:shd w:val="clear" w:color="auto" w:fill="auto"/>
            <w:noWrap/>
            <w:vAlign w:val="bottom"/>
            <w:hideMark/>
          </w:tcPr>
          <w:p w14:paraId="582EAE60"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14.505,06</w:t>
            </w:r>
          </w:p>
        </w:tc>
        <w:tc>
          <w:tcPr>
            <w:tcW w:w="1140" w:type="dxa"/>
            <w:tcBorders>
              <w:top w:val="nil"/>
              <w:left w:val="nil"/>
              <w:bottom w:val="nil"/>
              <w:right w:val="single" w:sz="8" w:space="0" w:color="auto"/>
            </w:tcBorders>
            <w:shd w:val="clear" w:color="auto" w:fill="auto"/>
            <w:noWrap/>
            <w:vAlign w:val="bottom"/>
            <w:hideMark/>
          </w:tcPr>
          <w:p w14:paraId="11E46F0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w:t>
            </w:r>
          </w:p>
        </w:tc>
      </w:tr>
      <w:tr w:rsidR="00600745" w:rsidRPr="00600745" w14:paraId="790E0397" w14:textId="77777777" w:rsidTr="00600745">
        <w:trPr>
          <w:trHeight w:val="20"/>
        </w:trPr>
        <w:tc>
          <w:tcPr>
            <w:tcW w:w="500" w:type="dxa"/>
            <w:tcBorders>
              <w:top w:val="nil"/>
              <w:left w:val="single" w:sz="8" w:space="0" w:color="auto"/>
              <w:bottom w:val="nil"/>
              <w:right w:val="nil"/>
            </w:tcBorders>
            <w:shd w:val="clear" w:color="auto" w:fill="auto"/>
            <w:noWrap/>
            <w:vAlign w:val="bottom"/>
            <w:hideMark/>
          </w:tcPr>
          <w:p w14:paraId="18F274E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53</w:t>
            </w:r>
          </w:p>
        </w:tc>
        <w:tc>
          <w:tcPr>
            <w:tcW w:w="2324" w:type="dxa"/>
            <w:tcBorders>
              <w:top w:val="nil"/>
              <w:left w:val="nil"/>
              <w:bottom w:val="nil"/>
              <w:right w:val="nil"/>
            </w:tcBorders>
            <w:shd w:val="clear" w:color="auto" w:fill="auto"/>
            <w:noWrap/>
            <w:vAlign w:val="bottom"/>
            <w:hideMark/>
          </w:tcPr>
          <w:p w14:paraId="287C173E"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Macerata</w:t>
            </w:r>
          </w:p>
        </w:tc>
        <w:tc>
          <w:tcPr>
            <w:tcW w:w="1000" w:type="dxa"/>
            <w:tcBorders>
              <w:top w:val="nil"/>
              <w:left w:val="nil"/>
              <w:bottom w:val="nil"/>
              <w:right w:val="nil"/>
            </w:tcBorders>
            <w:shd w:val="clear" w:color="auto" w:fill="auto"/>
            <w:noWrap/>
            <w:vAlign w:val="bottom"/>
            <w:hideMark/>
          </w:tcPr>
          <w:p w14:paraId="3B945E05"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24.323,73</w:t>
            </w:r>
          </w:p>
        </w:tc>
        <w:tc>
          <w:tcPr>
            <w:tcW w:w="1080" w:type="dxa"/>
            <w:tcBorders>
              <w:top w:val="nil"/>
              <w:left w:val="nil"/>
              <w:bottom w:val="nil"/>
              <w:right w:val="single" w:sz="8" w:space="0" w:color="auto"/>
            </w:tcBorders>
            <w:shd w:val="clear" w:color="auto" w:fill="auto"/>
            <w:noWrap/>
            <w:vAlign w:val="bottom"/>
            <w:hideMark/>
          </w:tcPr>
          <w:p w14:paraId="45E7BE02"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c>
          <w:tcPr>
            <w:tcW w:w="443" w:type="dxa"/>
            <w:tcBorders>
              <w:top w:val="nil"/>
              <w:left w:val="nil"/>
              <w:bottom w:val="nil"/>
              <w:right w:val="nil"/>
            </w:tcBorders>
            <w:shd w:val="clear" w:color="auto" w:fill="auto"/>
            <w:noWrap/>
            <w:vAlign w:val="bottom"/>
            <w:hideMark/>
          </w:tcPr>
          <w:p w14:paraId="6671248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107</w:t>
            </w:r>
          </w:p>
        </w:tc>
        <w:tc>
          <w:tcPr>
            <w:tcW w:w="2154" w:type="dxa"/>
            <w:tcBorders>
              <w:top w:val="nil"/>
              <w:left w:val="nil"/>
              <w:bottom w:val="nil"/>
              <w:right w:val="nil"/>
            </w:tcBorders>
            <w:shd w:val="clear" w:color="auto" w:fill="auto"/>
            <w:noWrap/>
            <w:vAlign w:val="bottom"/>
            <w:hideMark/>
          </w:tcPr>
          <w:p w14:paraId="1D93F630"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Agrigento</w:t>
            </w:r>
          </w:p>
        </w:tc>
        <w:tc>
          <w:tcPr>
            <w:tcW w:w="1000" w:type="dxa"/>
            <w:tcBorders>
              <w:top w:val="nil"/>
              <w:left w:val="nil"/>
              <w:bottom w:val="nil"/>
              <w:right w:val="nil"/>
            </w:tcBorders>
            <w:shd w:val="clear" w:color="auto" w:fill="auto"/>
            <w:noWrap/>
            <w:vAlign w:val="bottom"/>
            <w:hideMark/>
          </w:tcPr>
          <w:p w14:paraId="5058556B"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14.503,99</w:t>
            </w:r>
          </w:p>
        </w:tc>
        <w:tc>
          <w:tcPr>
            <w:tcW w:w="1140" w:type="dxa"/>
            <w:tcBorders>
              <w:top w:val="nil"/>
              <w:left w:val="nil"/>
              <w:bottom w:val="nil"/>
              <w:right w:val="single" w:sz="8" w:space="0" w:color="auto"/>
            </w:tcBorders>
            <w:shd w:val="clear" w:color="auto" w:fill="auto"/>
            <w:noWrap/>
            <w:vAlign w:val="bottom"/>
            <w:hideMark/>
          </w:tcPr>
          <w:p w14:paraId="67D1DCBC"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0</w:t>
            </w:r>
          </w:p>
        </w:tc>
      </w:tr>
      <w:tr w:rsidR="00600745" w:rsidRPr="00600745" w14:paraId="4C901F75" w14:textId="77777777" w:rsidTr="00600745">
        <w:trPr>
          <w:trHeight w:val="20"/>
        </w:trPr>
        <w:tc>
          <w:tcPr>
            <w:tcW w:w="500" w:type="dxa"/>
            <w:tcBorders>
              <w:top w:val="nil"/>
              <w:left w:val="single" w:sz="8" w:space="0" w:color="auto"/>
              <w:bottom w:val="single" w:sz="8" w:space="0" w:color="auto"/>
              <w:right w:val="nil"/>
            </w:tcBorders>
            <w:shd w:val="clear" w:color="auto" w:fill="auto"/>
            <w:noWrap/>
            <w:vAlign w:val="bottom"/>
            <w:hideMark/>
          </w:tcPr>
          <w:p w14:paraId="29ACBC41"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54</w:t>
            </w:r>
          </w:p>
        </w:tc>
        <w:tc>
          <w:tcPr>
            <w:tcW w:w="2324" w:type="dxa"/>
            <w:tcBorders>
              <w:top w:val="nil"/>
              <w:left w:val="nil"/>
              <w:bottom w:val="single" w:sz="8" w:space="0" w:color="auto"/>
              <w:right w:val="nil"/>
            </w:tcBorders>
            <w:shd w:val="clear" w:color="auto" w:fill="auto"/>
            <w:noWrap/>
            <w:vAlign w:val="bottom"/>
            <w:hideMark/>
          </w:tcPr>
          <w:p w14:paraId="62BEE1F4"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Ferrara</w:t>
            </w:r>
          </w:p>
        </w:tc>
        <w:tc>
          <w:tcPr>
            <w:tcW w:w="1000" w:type="dxa"/>
            <w:tcBorders>
              <w:top w:val="nil"/>
              <w:left w:val="nil"/>
              <w:bottom w:val="single" w:sz="8" w:space="0" w:color="auto"/>
              <w:right w:val="nil"/>
            </w:tcBorders>
            <w:shd w:val="clear" w:color="auto" w:fill="auto"/>
            <w:noWrap/>
            <w:vAlign w:val="bottom"/>
            <w:hideMark/>
          </w:tcPr>
          <w:p w14:paraId="4FEF2D66"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24.210,24</w:t>
            </w:r>
          </w:p>
        </w:tc>
        <w:tc>
          <w:tcPr>
            <w:tcW w:w="1080" w:type="dxa"/>
            <w:tcBorders>
              <w:top w:val="nil"/>
              <w:left w:val="nil"/>
              <w:bottom w:val="single" w:sz="8" w:space="0" w:color="auto"/>
              <w:right w:val="single" w:sz="8" w:space="0" w:color="auto"/>
            </w:tcBorders>
            <w:shd w:val="clear" w:color="auto" w:fill="auto"/>
            <w:noWrap/>
            <w:vAlign w:val="bottom"/>
            <w:hideMark/>
          </w:tcPr>
          <w:p w14:paraId="25AD8124" w14:textId="77777777" w:rsidR="00600745" w:rsidRPr="00600745" w:rsidRDefault="00600745" w:rsidP="00600745">
            <w:pPr>
              <w:spacing w:after="0" w:line="240" w:lineRule="auto"/>
              <w:jc w:val="right"/>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1</w:t>
            </w:r>
          </w:p>
        </w:tc>
        <w:tc>
          <w:tcPr>
            <w:tcW w:w="443" w:type="dxa"/>
            <w:tcBorders>
              <w:top w:val="nil"/>
              <w:left w:val="nil"/>
              <w:bottom w:val="single" w:sz="8" w:space="0" w:color="auto"/>
              <w:right w:val="nil"/>
            </w:tcBorders>
            <w:shd w:val="clear" w:color="auto" w:fill="auto"/>
            <w:noWrap/>
            <w:vAlign w:val="bottom"/>
            <w:hideMark/>
          </w:tcPr>
          <w:p w14:paraId="0C4008D0"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 </w:t>
            </w:r>
          </w:p>
        </w:tc>
        <w:tc>
          <w:tcPr>
            <w:tcW w:w="2154" w:type="dxa"/>
            <w:tcBorders>
              <w:top w:val="nil"/>
              <w:left w:val="nil"/>
              <w:bottom w:val="single" w:sz="8" w:space="0" w:color="auto"/>
              <w:right w:val="nil"/>
            </w:tcBorders>
            <w:shd w:val="clear" w:color="auto" w:fill="auto"/>
            <w:noWrap/>
            <w:vAlign w:val="bottom"/>
            <w:hideMark/>
          </w:tcPr>
          <w:p w14:paraId="0F9ED906"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 </w:t>
            </w:r>
          </w:p>
        </w:tc>
        <w:tc>
          <w:tcPr>
            <w:tcW w:w="1000" w:type="dxa"/>
            <w:tcBorders>
              <w:top w:val="nil"/>
              <w:left w:val="nil"/>
              <w:bottom w:val="single" w:sz="8" w:space="0" w:color="auto"/>
              <w:right w:val="nil"/>
            </w:tcBorders>
            <w:shd w:val="clear" w:color="auto" w:fill="auto"/>
            <w:noWrap/>
            <w:vAlign w:val="bottom"/>
            <w:hideMark/>
          </w:tcPr>
          <w:p w14:paraId="5BF87D44"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 </w:t>
            </w:r>
          </w:p>
        </w:tc>
        <w:tc>
          <w:tcPr>
            <w:tcW w:w="1140" w:type="dxa"/>
            <w:tcBorders>
              <w:top w:val="nil"/>
              <w:left w:val="nil"/>
              <w:bottom w:val="single" w:sz="8" w:space="0" w:color="auto"/>
              <w:right w:val="single" w:sz="8" w:space="0" w:color="auto"/>
            </w:tcBorders>
            <w:shd w:val="clear" w:color="auto" w:fill="auto"/>
            <w:noWrap/>
            <w:vAlign w:val="bottom"/>
            <w:hideMark/>
          </w:tcPr>
          <w:p w14:paraId="66EA7B7C" w14:textId="77777777" w:rsidR="00600745" w:rsidRPr="00600745" w:rsidRDefault="00600745" w:rsidP="00600745">
            <w:pPr>
              <w:spacing w:after="0" w:line="240" w:lineRule="auto"/>
              <w:rPr>
                <w:rFonts w:ascii="Calibri" w:eastAsia="Times New Roman" w:hAnsi="Calibri" w:cs="Calibri"/>
                <w:color w:val="000000"/>
                <w:sz w:val="18"/>
                <w:szCs w:val="18"/>
                <w:lang w:eastAsia="it-IT"/>
              </w:rPr>
            </w:pPr>
            <w:r w:rsidRPr="00600745">
              <w:rPr>
                <w:rFonts w:ascii="Calibri" w:eastAsia="Times New Roman" w:hAnsi="Calibri" w:cs="Calibri"/>
                <w:color w:val="000000"/>
                <w:sz w:val="18"/>
                <w:szCs w:val="18"/>
                <w:lang w:eastAsia="it-IT"/>
              </w:rPr>
              <w:t> </w:t>
            </w:r>
          </w:p>
        </w:tc>
      </w:tr>
    </w:tbl>
    <w:p w14:paraId="680953EB" w14:textId="77777777" w:rsidR="00600745" w:rsidRDefault="00600745" w:rsidP="00600745">
      <w:pPr>
        <w:spacing w:after="0" w:line="240" w:lineRule="auto"/>
        <w:ind w:left="567" w:hanging="567"/>
        <w:jc w:val="both"/>
        <w:rPr>
          <w:b/>
          <w:bCs/>
        </w:rPr>
      </w:pPr>
      <w:r w:rsidRPr="0020157D">
        <w:rPr>
          <w:b/>
          <w:bCs/>
          <w:sz w:val="18"/>
          <w:szCs w:val="18"/>
        </w:rPr>
        <w:lastRenderedPageBreak/>
        <w:t xml:space="preserve">Fonte: Elaborazione Centro Studi delle Camere di Commercio Guglielmo Tagliacarne </w:t>
      </w:r>
    </w:p>
    <w:p w14:paraId="71884AD8" w14:textId="17A9BD2A" w:rsidR="00846ACD" w:rsidRDefault="00600745" w:rsidP="00846ACD">
      <w:pPr>
        <w:spacing w:before="200"/>
        <w:jc w:val="both"/>
        <w:rPr>
          <w:sz w:val="24"/>
          <w:szCs w:val="24"/>
        </w:rPr>
      </w:pPr>
      <w:r>
        <w:rPr>
          <w:sz w:val="24"/>
          <w:szCs w:val="24"/>
        </w:rPr>
        <w:t xml:space="preserve">Vi sono nove province che lo hanno eguagliato e fra queste le più significative sono Parma (sesta) e Napoli (79esima) che questi risultati li hanno conseguiti in tutti e due gli anni caratterizzati dalla pandemia. </w:t>
      </w:r>
      <w:r w:rsidR="00AD2D1A">
        <w:rPr>
          <w:sz w:val="24"/>
          <w:szCs w:val="24"/>
        </w:rPr>
        <w:t>Invece tra coloro che hanno evidenziato il peggior piazzamento della propria storia si possono citare tre realtà che nel 2021 hanno conseguito il risultato più negativo dal 2002. Si tratta di Grosseto</w:t>
      </w:r>
      <w:r>
        <w:rPr>
          <w:sz w:val="24"/>
          <w:szCs w:val="24"/>
        </w:rPr>
        <w:t xml:space="preserve"> oggi 70 esima dopo che nel passato era stata anche 55 esima, Pescara 67 esima con un distacco di 17 posizioni rispetto ai propri massimi storici e infine Reggio di Calabria per la prima volta nella storia 97 esima con una regressione di nove posizioni rispetto al piazzamento migliore.</w:t>
      </w:r>
    </w:p>
    <w:p w14:paraId="68E7C34E" w14:textId="77777777" w:rsidR="00600745" w:rsidRPr="00846ACD" w:rsidRDefault="00600745" w:rsidP="00846ACD">
      <w:pPr>
        <w:spacing w:before="200"/>
        <w:jc w:val="both"/>
        <w:rPr>
          <w:sz w:val="24"/>
          <w:szCs w:val="24"/>
        </w:rPr>
      </w:pPr>
    </w:p>
    <w:p w14:paraId="7CC9E564" w14:textId="68721673" w:rsidR="00846ACD" w:rsidRDefault="00846ACD" w:rsidP="002C19D0"/>
    <w:p w14:paraId="7BD433FB" w14:textId="77777777" w:rsidR="00846ACD" w:rsidRDefault="00846ACD" w:rsidP="002C19D0"/>
    <w:p w14:paraId="4A422566" w14:textId="10443B8C" w:rsidR="00D7067A" w:rsidRDefault="00D7067A" w:rsidP="00C10429"/>
    <w:p w14:paraId="569AB664" w14:textId="77777777" w:rsidR="002C19D0" w:rsidRPr="00C10429" w:rsidRDefault="002C19D0" w:rsidP="00C10429"/>
    <w:p w14:paraId="07C2C07E" w14:textId="77777777" w:rsidR="00A118FF" w:rsidRDefault="00A118FF" w:rsidP="0020157D">
      <w:pPr>
        <w:spacing w:after="0" w:line="240" w:lineRule="auto"/>
        <w:rPr>
          <w:b/>
          <w:bCs/>
          <w:sz w:val="18"/>
          <w:szCs w:val="18"/>
        </w:rPr>
      </w:pPr>
    </w:p>
    <w:sectPr w:rsidR="00A118FF" w:rsidSect="005529DB">
      <w:headerReference w:type="default" r:id="rId27"/>
      <w:footerReference w:type="default" r:id="rId28"/>
      <w:pgSz w:w="11906" w:h="16838"/>
      <w:pgMar w:top="709"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7EF9A9" w14:textId="77777777" w:rsidR="00244E9D" w:rsidRDefault="00244E9D" w:rsidP="00CC438E">
      <w:pPr>
        <w:spacing w:after="0" w:line="240" w:lineRule="auto"/>
      </w:pPr>
      <w:r>
        <w:separator/>
      </w:r>
    </w:p>
  </w:endnote>
  <w:endnote w:type="continuationSeparator" w:id="0">
    <w:p w14:paraId="3C20B7E6" w14:textId="77777777" w:rsidR="00244E9D" w:rsidRDefault="00244E9D" w:rsidP="00CC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5438640"/>
      <w:docPartObj>
        <w:docPartGallery w:val="Page Numbers (Bottom of Page)"/>
        <w:docPartUnique/>
      </w:docPartObj>
    </w:sdtPr>
    <w:sdtEndPr/>
    <w:sdtContent>
      <w:p w14:paraId="35619730" w14:textId="2D6C8CC4" w:rsidR="007B11B8" w:rsidRDefault="007B11B8">
        <w:pPr>
          <w:pStyle w:val="Pidipagina"/>
          <w:jc w:val="center"/>
        </w:pPr>
        <w:r>
          <w:fldChar w:fldCharType="begin"/>
        </w:r>
        <w:r>
          <w:instrText>PAGE   \* MERGEFORMAT</w:instrText>
        </w:r>
        <w:r>
          <w:fldChar w:fldCharType="separate"/>
        </w:r>
        <w:r w:rsidR="00A0618C">
          <w:rPr>
            <w:noProof/>
          </w:rPr>
          <w:t>26</w:t>
        </w:r>
        <w:r>
          <w:fldChar w:fldCharType="end"/>
        </w:r>
      </w:p>
    </w:sdtContent>
  </w:sdt>
  <w:p w14:paraId="764A6FF5" w14:textId="77777777" w:rsidR="007B11B8" w:rsidRDefault="007B11B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CC6E7F" w14:textId="77777777" w:rsidR="00244E9D" w:rsidRDefault="00244E9D" w:rsidP="00CC438E">
      <w:pPr>
        <w:spacing w:after="0" w:line="240" w:lineRule="auto"/>
      </w:pPr>
      <w:r>
        <w:separator/>
      </w:r>
    </w:p>
  </w:footnote>
  <w:footnote w:type="continuationSeparator" w:id="0">
    <w:p w14:paraId="47EBFCC9" w14:textId="77777777" w:rsidR="00244E9D" w:rsidRDefault="00244E9D" w:rsidP="00CC438E">
      <w:pPr>
        <w:spacing w:after="0" w:line="240" w:lineRule="auto"/>
      </w:pPr>
      <w:r>
        <w:continuationSeparator/>
      </w:r>
    </w:p>
  </w:footnote>
  <w:footnote w:id="1">
    <w:p w14:paraId="2439A39A" w14:textId="77777777" w:rsidR="00C41670" w:rsidRDefault="00C41670" w:rsidP="00C41670">
      <w:pPr>
        <w:pStyle w:val="Testonotaapidipagina"/>
        <w:ind w:left="142" w:hanging="142"/>
        <w:jc w:val="both"/>
      </w:pPr>
      <w:r>
        <w:rPr>
          <w:rStyle w:val="Rimandonotaapidipagina"/>
        </w:rPr>
        <w:footnoteRef/>
      </w:r>
      <w:r>
        <w:t xml:space="preserve"> In tal senso è sufficiente evidenziare come il dato di valore aggiunto ai prezzi base in termini concatenati anno di riferimento 2015 del Molise dell’anno 2020 sia inferiore di oltre il 23% rispetto al valore massimo registratosi nel 2007</w:t>
      </w:r>
    </w:p>
  </w:footnote>
  <w:footnote w:id="2">
    <w:p w14:paraId="36EC39E6" w14:textId="190A6EF6" w:rsidR="00CC438E" w:rsidRDefault="00CC438E">
      <w:pPr>
        <w:pStyle w:val="Testonotaapidipagina"/>
      </w:pPr>
      <w:r>
        <w:rPr>
          <w:rStyle w:val="Rimandonotaapidipagina"/>
        </w:rPr>
        <w:footnoteRef/>
      </w:r>
      <w:r>
        <w:t xml:space="preserve"> Valutazioni realizzate da</w:t>
      </w:r>
      <w:r w:rsidR="00C8387E">
        <w:t xml:space="preserve">l </w:t>
      </w:r>
      <w:r>
        <w:t>Centro Studi delle Camere di Commercio Guglielmo Tagliacarne</w:t>
      </w:r>
    </w:p>
  </w:footnote>
  <w:footnote w:id="3">
    <w:p w14:paraId="4EE1D3AE" w14:textId="1BAC2F7C" w:rsidR="00AB155C" w:rsidRDefault="00AB155C">
      <w:pPr>
        <w:pStyle w:val="Testonotaapidipagina"/>
      </w:pPr>
      <w:r>
        <w:rPr>
          <w:rStyle w:val="Rimandonotaapidipagina"/>
        </w:rPr>
        <w:footnoteRef/>
      </w:r>
      <w:r>
        <w:t xml:space="preserve"> </w:t>
      </w:r>
      <w:r w:rsidR="00ED68C8">
        <w:t>A tale scopo in questa nota le province/città metropolitane sono state suddivise in 5 gruppi in base alla popolazione residente media dell’anno 2021:</w:t>
      </w:r>
    </w:p>
    <w:p w14:paraId="66A6F0F5" w14:textId="5C9D19BC" w:rsidR="00ED68C8" w:rsidRDefault="00ED68C8" w:rsidP="00ED68C8">
      <w:pPr>
        <w:pStyle w:val="Testonotaapidipagina"/>
        <w:numPr>
          <w:ilvl w:val="0"/>
          <w:numId w:val="2"/>
        </w:numPr>
      </w:pPr>
      <w:r>
        <w:t>Province piccole</w:t>
      </w:r>
      <w:r>
        <w:tab/>
        <w:t>con una popolazione compresa fra 80.792,5 e 230.656 residenti</w:t>
      </w:r>
    </w:p>
    <w:p w14:paraId="2D76E530" w14:textId="7DF8BD22" w:rsidR="00ED68C8" w:rsidRDefault="00ED68C8" w:rsidP="00ED68C8">
      <w:pPr>
        <w:pStyle w:val="Testonotaapidipagina"/>
        <w:numPr>
          <w:ilvl w:val="0"/>
          <w:numId w:val="2"/>
        </w:numPr>
      </w:pPr>
      <w:r>
        <w:t>Province medio piccole con una popolazione compresa fra 252.119 e 380.171 residenti</w:t>
      </w:r>
    </w:p>
    <w:p w14:paraId="4543286C" w14:textId="20FD027B" w:rsidR="00ED68C8" w:rsidRDefault="00ED68C8" w:rsidP="00ED68C8">
      <w:pPr>
        <w:pStyle w:val="Testonotaapidipagina"/>
        <w:numPr>
          <w:ilvl w:val="0"/>
          <w:numId w:val="2"/>
        </w:numPr>
      </w:pPr>
      <w:r>
        <w:t>Province medio grandi con una popolazione compresa fra 380.898,5 e 600.148 residenti</w:t>
      </w:r>
    </w:p>
    <w:p w14:paraId="37A65C1F" w14:textId="65E3032B" w:rsidR="00ED68C8" w:rsidRDefault="00ED68C8" w:rsidP="00ED68C8">
      <w:pPr>
        <w:pStyle w:val="Testonotaapidipagina"/>
        <w:numPr>
          <w:ilvl w:val="0"/>
          <w:numId w:val="2"/>
        </w:numPr>
      </w:pPr>
      <w:r>
        <w:t>Province grandi con una popolazione compresa fra 643.412 e 1.255.015,5 residenti</w:t>
      </w:r>
    </w:p>
    <w:p w14:paraId="50FD7664" w14:textId="53B593C5" w:rsidR="00ED68C8" w:rsidRDefault="00ED68C8" w:rsidP="00ED68C8">
      <w:pPr>
        <w:pStyle w:val="Testonotaapidipagina"/>
      </w:pPr>
      <w:r>
        <w:t>A questi gruppi si aggiungono poi quelle che vengono definite città metropolitane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3"/>
      <w:gridCol w:w="5691"/>
    </w:tblGrid>
    <w:tr w:rsidR="005529DB" w14:paraId="5476CB11" w14:textId="77777777" w:rsidTr="009012C8">
      <w:tc>
        <w:tcPr>
          <w:tcW w:w="4163" w:type="dxa"/>
        </w:tcPr>
        <w:p w14:paraId="51999FD9" w14:textId="77777777" w:rsidR="005529DB" w:rsidRDefault="005529DB" w:rsidP="005529DB">
          <w:pPr>
            <w:rPr>
              <w:b/>
              <w:bCs/>
              <w:sz w:val="28"/>
              <w:szCs w:val="28"/>
            </w:rPr>
          </w:pPr>
          <w:r>
            <w:rPr>
              <w:noProof/>
              <w:lang w:eastAsia="it-IT"/>
            </w:rPr>
            <w:drawing>
              <wp:inline distT="0" distB="0" distL="0" distR="0" wp14:anchorId="6C593C64" wp14:editId="366EB3C7">
                <wp:extent cx="1876425" cy="440960"/>
                <wp:effectExtent l="0" t="0" r="0" b="0"/>
                <wp:docPr id="31" name="Immagine 31" descr="Unioncam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ioncame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578" cy="444051"/>
                        </a:xfrm>
                        <a:prstGeom prst="rect">
                          <a:avLst/>
                        </a:prstGeom>
                        <a:noFill/>
                        <a:ln>
                          <a:noFill/>
                        </a:ln>
                      </pic:spPr>
                    </pic:pic>
                  </a:graphicData>
                </a:graphic>
              </wp:inline>
            </w:drawing>
          </w:r>
        </w:p>
      </w:tc>
      <w:tc>
        <w:tcPr>
          <w:tcW w:w="5691" w:type="dxa"/>
        </w:tcPr>
        <w:p w14:paraId="0D962785" w14:textId="77777777" w:rsidR="005529DB" w:rsidRDefault="005529DB" w:rsidP="005529DB">
          <w:pPr>
            <w:jc w:val="right"/>
            <w:rPr>
              <w:b/>
              <w:bCs/>
              <w:sz w:val="28"/>
              <w:szCs w:val="28"/>
            </w:rPr>
          </w:pPr>
          <w:r>
            <w:rPr>
              <w:noProof/>
              <w:lang w:eastAsia="it-IT"/>
            </w:rPr>
            <w:drawing>
              <wp:inline distT="0" distB="0" distL="0" distR="0" wp14:anchorId="4FF39F0D" wp14:editId="502993AF">
                <wp:extent cx="2571750" cy="436845"/>
                <wp:effectExtent l="0" t="0" r="0" b="0"/>
                <wp:docPr id="32" name="Immagine 32" descr="Centro Studi delle Camere di commercio Guglielmo Tagliacarne s.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entro Studi delle Camere di commercio Guglielmo Tagliacarne s.r.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93839" cy="440597"/>
                        </a:xfrm>
                        <a:prstGeom prst="rect">
                          <a:avLst/>
                        </a:prstGeom>
                        <a:noFill/>
                        <a:ln>
                          <a:noFill/>
                        </a:ln>
                      </pic:spPr>
                    </pic:pic>
                  </a:graphicData>
                </a:graphic>
              </wp:inline>
            </w:drawing>
          </w:r>
        </w:p>
      </w:tc>
    </w:tr>
  </w:tbl>
  <w:p w14:paraId="7C1A70A4" w14:textId="77777777" w:rsidR="005529DB" w:rsidRDefault="005529D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1753"/>
    <w:multiLevelType w:val="hybridMultilevel"/>
    <w:tmpl w:val="1B68D1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4F942A5"/>
    <w:multiLevelType w:val="multilevel"/>
    <w:tmpl w:val="A016E9B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5C818E3"/>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D15012D"/>
    <w:multiLevelType w:val="multilevel"/>
    <w:tmpl w:val="04100025"/>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
    <w:nsid w:val="3DD95DC9"/>
    <w:multiLevelType w:val="hybridMultilevel"/>
    <w:tmpl w:val="78DE7A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25A3061"/>
    <w:multiLevelType w:val="hybridMultilevel"/>
    <w:tmpl w:val="782A5CD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AA6509C"/>
    <w:multiLevelType w:val="multilevel"/>
    <w:tmpl w:val="CD4EC1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0"/>
  </w:num>
  <w:num w:numId="3">
    <w:abstractNumId w:val="1"/>
  </w:num>
  <w:num w:numId="4">
    <w:abstractNumId w:val="5"/>
  </w:num>
  <w:num w:numId="5">
    <w:abstractNumId w:val="3"/>
  </w:num>
  <w:num w:numId="6">
    <w:abstractNumId w:val="3"/>
  </w:num>
  <w:num w:numId="7">
    <w:abstractNumId w:val="6"/>
  </w:num>
  <w:num w:numId="8">
    <w:abstractNumId w:val="3"/>
  </w:num>
  <w:num w:numId="9">
    <w:abstractNumId w:val="2"/>
  </w:num>
  <w:num w:numId="10">
    <w:abstractNumId w:val="3"/>
  </w:num>
  <w:num w:numId="11">
    <w:abstractNumId w:val="3"/>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E8D"/>
    <w:rsid w:val="0000676A"/>
    <w:rsid w:val="00010E97"/>
    <w:rsid w:val="00015BCD"/>
    <w:rsid w:val="00021994"/>
    <w:rsid w:val="000232E2"/>
    <w:rsid w:val="000319B5"/>
    <w:rsid w:val="00037616"/>
    <w:rsid w:val="00064226"/>
    <w:rsid w:val="000642D6"/>
    <w:rsid w:val="000866DE"/>
    <w:rsid w:val="000A3D63"/>
    <w:rsid w:val="000A7EB0"/>
    <w:rsid w:val="000D53B9"/>
    <w:rsid w:val="000F318B"/>
    <w:rsid w:val="000F38CD"/>
    <w:rsid w:val="001008E3"/>
    <w:rsid w:val="001030B8"/>
    <w:rsid w:val="00106696"/>
    <w:rsid w:val="0011551B"/>
    <w:rsid w:val="00122E2C"/>
    <w:rsid w:val="00127EF3"/>
    <w:rsid w:val="00146EF6"/>
    <w:rsid w:val="00164776"/>
    <w:rsid w:val="00167FD1"/>
    <w:rsid w:val="00181FE8"/>
    <w:rsid w:val="00183391"/>
    <w:rsid w:val="001B16F7"/>
    <w:rsid w:val="001C0C3B"/>
    <w:rsid w:val="001E2CEF"/>
    <w:rsid w:val="001E37F0"/>
    <w:rsid w:val="0020157D"/>
    <w:rsid w:val="0021014F"/>
    <w:rsid w:val="002253BA"/>
    <w:rsid w:val="00244E9D"/>
    <w:rsid w:val="002550B5"/>
    <w:rsid w:val="00274190"/>
    <w:rsid w:val="002755E9"/>
    <w:rsid w:val="00277D04"/>
    <w:rsid w:val="00281EFC"/>
    <w:rsid w:val="00294386"/>
    <w:rsid w:val="002A0CEF"/>
    <w:rsid w:val="002A35AE"/>
    <w:rsid w:val="002B03BB"/>
    <w:rsid w:val="002B5BFA"/>
    <w:rsid w:val="002C19D0"/>
    <w:rsid w:val="002D0F74"/>
    <w:rsid w:val="002D589B"/>
    <w:rsid w:val="0030594F"/>
    <w:rsid w:val="0031397C"/>
    <w:rsid w:val="00320D1C"/>
    <w:rsid w:val="00337A2A"/>
    <w:rsid w:val="00344705"/>
    <w:rsid w:val="00344CD9"/>
    <w:rsid w:val="0035723C"/>
    <w:rsid w:val="00374C63"/>
    <w:rsid w:val="00391A67"/>
    <w:rsid w:val="00425C27"/>
    <w:rsid w:val="00427CD2"/>
    <w:rsid w:val="00441D4B"/>
    <w:rsid w:val="004B1924"/>
    <w:rsid w:val="004B5339"/>
    <w:rsid w:val="004D627D"/>
    <w:rsid w:val="005023B8"/>
    <w:rsid w:val="005148D5"/>
    <w:rsid w:val="00525AF3"/>
    <w:rsid w:val="00541AF0"/>
    <w:rsid w:val="005449E0"/>
    <w:rsid w:val="005529DB"/>
    <w:rsid w:val="00555174"/>
    <w:rsid w:val="00565156"/>
    <w:rsid w:val="00572F91"/>
    <w:rsid w:val="00581016"/>
    <w:rsid w:val="005855F9"/>
    <w:rsid w:val="0058775F"/>
    <w:rsid w:val="005962FC"/>
    <w:rsid w:val="005B1E56"/>
    <w:rsid w:val="005C5132"/>
    <w:rsid w:val="005E3E30"/>
    <w:rsid w:val="005E5955"/>
    <w:rsid w:val="005F1321"/>
    <w:rsid w:val="00600745"/>
    <w:rsid w:val="00600E53"/>
    <w:rsid w:val="00602511"/>
    <w:rsid w:val="006128AE"/>
    <w:rsid w:val="006150A8"/>
    <w:rsid w:val="006217F3"/>
    <w:rsid w:val="00622119"/>
    <w:rsid w:val="00622DB9"/>
    <w:rsid w:val="006408D8"/>
    <w:rsid w:val="00652BF3"/>
    <w:rsid w:val="0065355F"/>
    <w:rsid w:val="00663A2E"/>
    <w:rsid w:val="00677A9D"/>
    <w:rsid w:val="006C1066"/>
    <w:rsid w:val="006D66C1"/>
    <w:rsid w:val="006F01FB"/>
    <w:rsid w:val="006F5700"/>
    <w:rsid w:val="0070188F"/>
    <w:rsid w:val="00731FDC"/>
    <w:rsid w:val="007528BB"/>
    <w:rsid w:val="007818E6"/>
    <w:rsid w:val="007B11B8"/>
    <w:rsid w:val="007B64AB"/>
    <w:rsid w:val="007C0C47"/>
    <w:rsid w:val="007C3E36"/>
    <w:rsid w:val="007E66C5"/>
    <w:rsid w:val="00814430"/>
    <w:rsid w:val="00834FB2"/>
    <w:rsid w:val="00846ACD"/>
    <w:rsid w:val="00854549"/>
    <w:rsid w:val="008575E1"/>
    <w:rsid w:val="008642B4"/>
    <w:rsid w:val="00864AA8"/>
    <w:rsid w:val="0089223C"/>
    <w:rsid w:val="008C7833"/>
    <w:rsid w:val="008D3932"/>
    <w:rsid w:val="00961E8D"/>
    <w:rsid w:val="009666E5"/>
    <w:rsid w:val="009824FF"/>
    <w:rsid w:val="0099587C"/>
    <w:rsid w:val="009A1472"/>
    <w:rsid w:val="009B7DA4"/>
    <w:rsid w:val="009D14D0"/>
    <w:rsid w:val="00A050B5"/>
    <w:rsid w:val="00A0618C"/>
    <w:rsid w:val="00A0665A"/>
    <w:rsid w:val="00A118FF"/>
    <w:rsid w:val="00A17C79"/>
    <w:rsid w:val="00A22544"/>
    <w:rsid w:val="00A310FB"/>
    <w:rsid w:val="00A34F79"/>
    <w:rsid w:val="00A77710"/>
    <w:rsid w:val="00AB155C"/>
    <w:rsid w:val="00AB5DBC"/>
    <w:rsid w:val="00AC50CA"/>
    <w:rsid w:val="00AD2D1A"/>
    <w:rsid w:val="00B0574A"/>
    <w:rsid w:val="00B05D11"/>
    <w:rsid w:val="00B166C8"/>
    <w:rsid w:val="00B247A3"/>
    <w:rsid w:val="00B24E9D"/>
    <w:rsid w:val="00B25087"/>
    <w:rsid w:val="00B50F24"/>
    <w:rsid w:val="00B67F1E"/>
    <w:rsid w:val="00B748F3"/>
    <w:rsid w:val="00B756F1"/>
    <w:rsid w:val="00B76AB0"/>
    <w:rsid w:val="00B86C6C"/>
    <w:rsid w:val="00B92BB8"/>
    <w:rsid w:val="00BA48DA"/>
    <w:rsid w:val="00BD4CAE"/>
    <w:rsid w:val="00BE2287"/>
    <w:rsid w:val="00BE598A"/>
    <w:rsid w:val="00BE71F3"/>
    <w:rsid w:val="00BF2963"/>
    <w:rsid w:val="00C075F2"/>
    <w:rsid w:val="00C10429"/>
    <w:rsid w:val="00C41670"/>
    <w:rsid w:val="00C427E7"/>
    <w:rsid w:val="00C44D57"/>
    <w:rsid w:val="00C56E41"/>
    <w:rsid w:val="00C8387E"/>
    <w:rsid w:val="00C85522"/>
    <w:rsid w:val="00CA20D9"/>
    <w:rsid w:val="00CC438E"/>
    <w:rsid w:val="00CE4FAC"/>
    <w:rsid w:val="00D01DAE"/>
    <w:rsid w:val="00D14B41"/>
    <w:rsid w:val="00D52435"/>
    <w:rsid w:val="00D61989"/>
    <w:rsid w:val="00D650F0"/>
    <w:rsid w:val="00D7067A"/>
    <w:rsid w:val="00D77A09"/>
    <w:rsid w:val="00DA3963"/>
    <w:rsid w:val="00DB6032"/>
    <w:rsid w:val="00DD091D"/>
    <w:rsid w:val="00DE1AB9"/>
    <w:rsid w:val="00DE70E4"/>
    <w:rsid w:val="00DF1610"/>
    <w:rsid w:val="00E10198"/>
    <w:rsid w:val="00E208B1"/>
    <w:rsid w:val="00E4176C"/>
    <w:rsid w:val="00E533C6"/>
    <w:rsid w:val="00E54B4A"/>
    <w:rsid w:val="00E55E2E"/>
    <w:rsid w:val="00E806A1"/>
    <w:rsid w:val="00E86E5E"/>
    <w:rsid w:val="00EA5296"/>
    <w:rsid w:val="00EB3D8B"/>
    <w:rsid w:val="00EB7856"/>
    <w:rsid w:val="00ED5DFE"/>
    <w:rsid w:val="00ED68C8"/>
    <w:rsid w:val="00EF104C"/>
    <w:rsid w:val="00EF6948"/>
    <w:rsid w:val="00F04327"/>
    <w:rsid w:val="00F173BF"/>
    <w:rsid w:val="00F24EF9"/>
    <w:rsid w:val="00F6085C"/>
    <w:rsid w:val="00F715DE"/>
    <w:rsid w:val="00F83940"/>
    <w:rsid w:val="00F85E1E"/>
    <w:rsid w:val="00F9683A"/>
    <w:rsid w:val="00F96C8F"/>
    <w:rsid w:val="00FA59BD"/>
    <w:rsid w:val="00FB599E"/>
    <w:rsid w:val="00FB6E25"/>
    <w:rsid w:val="00FD256B"/>
    <w:rsid w:val="00FF6D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E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7C3E36"/>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864AA8"/>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B0574A"/>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B0574A"/>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0574A"/>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B0574A"/>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B0574A"/>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B0574A"/>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B0574A"/>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176C"/>
    <w:pPr>
      <w:ind w:left="720"/>
      <w:contextualSpacing/>
    </w:pPr>
  </w:style>
  <w:style w:type="paragraph" w:styleId="Testonotaapidipagina">
    <w:name w:val="footnote text"/>
    <w:basedOn w:val="Normale"/>
    <w:link w:val="TestonotaapidipaginaCarattere"/>
    <w:uiPriority w:val="99"/>
    <w:semiHidden/>
    <w:unhideWhenUsed/>
    <w:rsid w:val="00CC438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C438E"/>
    <w:rPr>
      <w:sz w:val="20"/>
      <w:szCs w:val="20"/>
    </w:rPr>
  </w:style>
  <w:style w:type="character" w:styleId="Rimandonotaapidipagina">
    <w:name w:val="footnote reference"/>
    <w:basedOn w:val="Carpredefinitoparagrafo"/>
    <w:uiPriority w:val="99"/>
    <w:semiHidden/>
    <w:unhideWhenUsed/>
    <w:rsid w:val="00CC438E"/>
    <w:rPr>
      <w:vertAlign w:val="superscript"/>
    </w:rPr>
  </w:style>
  <w:style w:type="character" w:customStyle="1" w:styleId="Titolo1Carattere">
    <w:name w:val="Titolo 1 Carattere"/>
    <w:basedOn w:val="Carpredefinitoparagrafo"/>
    <w:link w:val="Titolo1"/>
    <w:uiPriority w:val="9"/>
    <w:rsid w:val="007C3E36"/>
    <w:rPr>
      <w:rFonts w:asciiTheme="majorHAnsi" w:eastAsiaTheme="majorEastAsia" w:hAnsiTheme="majorHAnsi" w:cstheme="majorBidi"/>
      <w:color w:val="2F5496" w:themeColor="accent1" w:themeShade="BF"/>
      <w:sz w:val="32"/>
      <w:szCs w:val="32"/>
    </w:rPr>
  </w:style>
  <w:style w:type="paragraph" w:styleId="Titolosommario">
    <w:name w:val="TOC Heading"/>
    <w:basedOn w:val="Titolo1"/>
    <w:next w:val="Normale"/>
    <w:uiPriority w:val="39"/>
    <w:unhideWhenUsed/>
    <w:qFormat/>
    <w:rsid w:val="00037616"/>
    <w:pPr>
      <w:outlineLvl w:val="9"/>
    </w:pPr>
    <w:rPr>
      <w:lang w:eastAsia="it-IT"/>
    </w:rPr>
  </w:style>
  <w:style w:type="paragraph" w:styleId="Sommario1">
    <w:name w:val="toc 1"/>
    <w:basedOn w:val="Normale"/>
    <w:next w:val="Normale"/>
    <w:autoRedefine/>
    <w:uiPriority w:val="39"/>
    <w:unhideWhenUsed/>
    <w:rsid w:val="00037616"/>
    <w:pPr>
      <w:spacing w:after="100"/>
    </w:pPr>
  </w:style>
  <w:style w:type="character" w:styleId="Collegamentoipertestuale">
    <w:name w:val="Hyperlink"/>
    <w:basedOn w:val="Carpredefinitoparagrafo"/>
    <w:uiPriority w:val="99"/>
    <w:unhideWhenUsed/>
    <w:rsid w:val="00037616"/>
    <w:rPr>
      <w:color w:val="0563C1" w:themeColor="hyperlink"/>
      <w:u w:val="single"/>
    </w:rPr>
  </w:style>
  <w:style w:type="table" w:styleId="Grigliatabella">
    <w:name w:val="Table Grid"/>
    <w:basedOn w:val="Tabellanormale"/>
    <w:uiPriority w:val="39"/>
    <w:rsid w:val="0003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B11B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11B8"/>
  </w:style>
  <w:style w:type="paragraph" w:styleId="Pidipagina">
    <w:name w:val="footer"/>
    <w:basedOn w:val="Normale"/>
    <w:link w:val="PidipaginaCarattere"/>
    <w:uiPriority w:val="99"/>
    <w:unhideWhenUsed/>
    <w:rsid w:val="007B11B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11B8"/>
  </w:style>
  <w:style w:type="character" w:customStyle="1" w:styleId="Titolo2Carattere">
    <w:name w:val="Titolo 2 Carattere"/>
    <w:basedOn w:val="Carpredefinitoparagrafo"/>
    <w:link w:val="Titolo2"/>
    <w:uiPriority w:val="9"/>
    <w:rsid w:val="00864AA8"/>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B0574A"/>
    <w:rPr>
      <w:rFonts w:asciiTheme="majorHAnsi" w:eastAsiaTheme="majorEastAsia" w:hAnsiTheme="majorHAnsi" w:cstheme="majorBidi"/>
      <w:color w:val="1F3763" w:themeColor="accent1" w:themeShade="7F"/>
      <w:sz w:val="24"/>
      <w:szCs w:val="24"/>
    </w:rPr>
  </w:style>
  <w:style w:type="character" w:customStyle="1" w:styleId="Titolo4Carattere">
    <w:name w:val="Titolo 4 Carattere"/>
    <w:basedOn w:val="Carpredefinitoparagrafo"/>
    <w:link w:val="Titolo4"/>
    <w:uiPriority w:val="9"/>
    <w:semiHidden/>
    <w:rsid w:val="00B0574A"/>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B0574A"/>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B0574A"/>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B0574A"/>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B0574A"/>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B0574A"/>
    <w:rPr>
      <w:rFonts w:asciiTheme="majorHAnsi" w:eastAsiaTheme="majorEastAsia" w:hAnsiTheme="majorHAnsi" w:cstheme="majorBidi"/>
      <w:i/>
      <w:iCs/>
      <w:color w:val="272727" w:themeColor="text1" w:themeTint="D8"/>
      <w:sz w:val="21"/>
      <w:szCs w:val="21"/>
    </w:rPr>
  </w:style>
  <w:style w:type="paragraph" w:styleId="Testofumetto">
    <w:name w:val="Balloon Text"/>
    <w:basedOn w:val="Normale"/>
    <w:link w:val="TestofumettoCarattere"/>
    <w:uiPriority w:val="99"/>
    <w:semiHidden/>
    <w:unhideWhenUsed/>
    <w:rsid w:val="00A0618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61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7C3E36"/>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864AA8"/>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B0574A"/>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B0574A"/>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0574A"/>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B0574A"/>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B0574A"/>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B0574A"/>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B0574A"/>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176C"/>
    <w:pPr>
      <w:ind w:left="720"/>
      <w:contextualSpacing/>
    </w:pPr>
  </w:style>
  <w:style w:type="paragraph" w:styleId="Testonotaapidipagina">
    <w:name w:val="footnote text"/>
    <w:basedOn w:val="Normale"/>
    <w:link w:val="TestonotaapidipaginaCarattere"/>
    <w:uiPriority w:val="99"/>
    <w:semiHidden/>
    <w:unhideWhenUsed/>
    <w:rsid w:val="00CC438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C438E"/>
    <w:rPr>
      <w:sz w:val="20"/>
      <w:szCs w:val="20"/>
    </w:rPr>
  </w:style>
  <w:style w:type="character" w:styleId="Rimandonotaapidipagina">
    <w:name w:val="footnote reference"/>
    <w:basedOn w:val="Carpredefinitoparagrafo"/>
    <w:uiPriority w:val="99"/>
    <w:semiHidden/>
    <w:unhideWhenUsed/>
    <w:rsid w:val="00CC438E"/>
    <w:rPr>
      <w:vertAlign w:val="superscript"/>
    </w:rPr>
  </w:style>
  <w:style w:type="character" w:customStyle="1" w:styleId="Titolo1Carattere">
    <w:name w:val="Titolo 1 Carattere"/>
    <w:basedOn w:val="Carpredefinitoparagrafo"/>
    <w:link w:val="Titolo1"/>
    <w:uiPriority w:val="9"/>
    <w:rsid w:val="007C3E36"/>
    <w:rPr>
      <w:rFonts w:asciiTheme="majorHAnsi" w:eastAsiaTheme="majorEastAsia" w:hAnsiTheme="majorHAnsi" w:cstheme="majorBidi"/>
      <w:color w:val="2F5496" w:themeColor="accent1" w:themeShade="BF"/>
      <w:sz w:val="32"/>
      <w:szCs w:val="32"/>
    </w:rPr>
  </w:style>
  <w:style w:type="paragraph" w:styleId="Titolosommario">
    <w:name w:val="TOC Heading"/>
    <w:basedOn w:val="Titolo1"/>
    <w:next w:val="Normale"/>
    <w:uiPriority w:val="39"/>
    <w:unhideWhenUsed/>
    <w:qFormat/>
    <w:rsid w:val="00037616"/>
    <w:pPr>
      <w:outlineLvl w:val="9"/>
    </w:pPr>
    <w:rPr>
      <w:lang w:eastAsia="it-IT"/>
    </w:rPr>
  </w:style>
  <w:style w:type="paragraph" w:styleId="Sommario1">
    <w:name w:val="toc 1"/>
    <w:basedOn w:val="Normale"/>
    <w:next w:val="Normale"/>
    <w:autoRedefine/>
    <w:uiPriority w:val="39"/>
    <w:unhideWhenUsed/>
    <w:rsid w:val="00037616"/>
    <w:pPr>
      <w:spacing w:after="100"/>
    </w:pPr>
  </w:style>
  <w:style w:type="character" w:styleId="Collegamentoipertestuale">
    <w:name w:val="Hyperlink"/>
    <w:basedOn w:val="Carpredefinitoparagrafo"/>
    <w:uiPriority w:val="99"/>
    <w:unhideWhenUsed/>
    <w:rsid w:val="00037616"/>
    <w:rPr>
      <w:color w:val="0563C1" w:themeColor="hyperlink"/>
      <w:u w:val="single"/>
    </w:rPr>
  </w:style>
  <w:style w:type="table" w:styleId="Grigliatabella">
    <w:name w:val="Table Grid"/>
    <w:basedOn w:val="Tabellanormale"/>
    <w:uiPriority w:val="39"/>
    <w:rsid w:val="0003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B11B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11B8"/>
  </w:style>
  <w:style w:type="paragraph" w:styleId="Pidipagina">
    <w:name w:val="footer"/>
    <w:basedOn w:val="Normale"/>
    <w:link w:val="PidipaginaCarattere"/>
    <w:uiPriority w:val="99"/>
    <w:unhideWhenUsed/>
    <w:rsid w:val="007B11B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11B8"/>
  </w:style>
  <w:style w:type="character" w:customStyle="1" w:styleId="Titolo2Carattere">
    <w:name w:val="Titolo 2 Carattere"/>
    <w:basedOn w:val="Carpredefinitoparagrafo"/>
    <w:link w:val="Titolo2"/>
    <w:uiPriority w:val="9"/>
    <w:rsid w:val="00864AA8"/>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B0574A"/>
    <w:rPr>
      <w:rFonts w:asciiTheme="majorHAnsi" w:eastAsiaTheme="majorEastAsia" w:hAnsiTheme="majorHAnsi" w:cstheme="majorBidi"/>
      <w:color w:val="1F3763" w:themeColor="accent1" w:themeShade="7F"/>
      <w:sz w:val="24"/>
      <w:szCs w:val="24"/>
    </w:rPr>
  </w:style>
  <w:style w:type="character" w:customStyle="1" w:styleId="Titolo4Carattere">
    <w:name w:val="Titolo 4 Carattere"/>
    <w:basedOn w:val="Carpredefinitoparagrafo"/>
    <w:link w:val="Titolo4"/>
    <w:uiPriority w:val="9"/>
    <w:semiHidden/>
    <w:rsid w:val="00B0574A"/>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B0574A"/>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B0574A"/>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B0574A"/>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B0574A"/>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B0574A"/>
    <w:rPr>
      <w:rFonts w:asciiTheme="majorHAnsi" w:eastAsiaTheme="majorEastAsia" w:hAnsiTheme="majorHAnsi" w:cstheme="majorBidi"/>
      <w:i/>
      <w:iCs/>
      <w:color w:val="272727" w:themeColor="text1" w:themeTint="D8"/>
      <w:sz w:val="21"/>
      <w:szCs w:val="21"/>
    </w:rPr>
  </w:style>
  <w:style w:type="paragraph" w:styleId="Testofumetto">
    <w:name w:val="Balloon Text"/>
    <w:basedOn w:val="Normale"/>
    <w:link w:val="TestofumettoCarattere"/>
    <w:uiPriority w:val="99"/>
    <w:semiHidden/>
    <w:unhideWhenUsed/>
    <w:rsid w:val="00A0618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61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4040">
      <w:bodyDiv w:val="1"/>
      <w:marLeft w:val="0"/>
      <w:marRight w:val="0"/>
      <w:marTop w:val="0"/>
      <w:marBottom w:val="0"/>
      <w:divBdr>
        <w:top w:val="none" w:sz="0" w:space="0" w:color="auto"/>
        <w:left w:val="none" w:sz="0" w:space="0" w:color="auto"/>
        <w:bottom w:val="none" w:sz="0" w:space="0" w:color="auto"/>
        <w:right w:val="none" w:sz="0" w:space="0" w:color="auto"/>
      </w:divBdr>
    </w:div>
    <w:div w:id="512494400">
      <w:bodyDiv w:val="1"/>
      <w:marLeft w:val="0"/>
      <w:marRight w:val="0"/>
      <w:marTop w:val="0"/>
      <w:marBottom w:val="0"/>
      <w:divBdr>
        <w:top w:val="none" w:sz="0" w:space="0" w:color="auto"/>
        <w:left w:val="none" w:sz="0" w:space="0" w:color="auto"/>
        <w:bottom w:val="none" w:sz="0" w:space="0" w:color="auto"/>
        <w:right w:val="none" w:sz="0" w:space="0" w:color="auto"/>
      </w:divBdr>
    </w:div>
    <w:div w:id="902257842">
      <w:bodyDiv w:val="1"/>
      <w:marLeft w:val="0"/>
      <w:marRight w:val="0"/>
      <w:marTop w:val="0"/>
      <w:marBottom w:val="0"/>
      <w:divBdr>
        <w:top w:val="none" w:sz="0" w:space="0" w:color="auto"/>
        <w:left w:val="none" w:sz="0" w:space="0" w:color="auto"/>
        <w:bottom w:val="none" w:sz="0" w:space="0" w:color="auto"/>
        <w:right w:val="none" w:sz="0" w:space="0" w:color="auto"/>
      </w:divBdr>
    </w:div>
    <w:div w:id="1256983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intra.tagliacarne.it\dfs\IGTDFS\NewArch-IGT\Studi\2021\21T17STU0200-Unioncamere-Valore%20aggiunto%20e%20supporto%20accorpamenti\Attivit&#224;\Valore%20aggiunto%20Zelli\Comunicato\Elaborazioni%20per%20comunicat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intra.tagliacarne.it\dfs\IGTDFS\NewArch-IGT\Studi\2021\21T17STU0200-Unioncamere-Valore%20aggiunto%20e%20supporto%20accorpamenti\Attivit&#224;\Valore%20aggiunto%20Zelli\Comunicato\Elaborazioni%20per%20comunicat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intra.tagliacarne.it\dfs\IGTDFS\NewArch-IGT\Studi\2021\21T17STU0200-Unioncamere-Valore%20aggiunto%20e%20supporto%20accorpamenti\Attivit&#224;\Valore%20aggiunto%20Zelli\Comunicato\Elaborazioni%20per%20comunicat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Tavole!$B$86</c:f>
              <c:strCache>
                <c:ptCount val="1"/>
                <c:pt idx="0">
                  <c:v>2000</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Tavole!$A$87:$A$91</c:f>
              <c:strCache>
                <c:ptCount val="5"/>
                <c:pt idx="0">
                  <c:v>Province piccole</c:v>
                </c:pt>
                <c:pt idx="1">
                  <c:v>Province medio piccole</c:v>
                </c:pt>
                <c:pt idx="2">
                  <c:v>Province medio grandi</c:v>
                </c:pt>
                <c:pt idx="3">
                  <c:v>Province grandi</c:v>
                </c:pt>
                <c:pt idx="4">
                  <c:v>Città metropolitane</c:v>
                </c:pt>
              </c:strCache>
            </c:strRef>
          </c:cat>
          <c:val>
            <c:numRef>
              <c:f>Tavole!$B$87:$B$91</c:f>
              <c:numCache>
                <c:formatCode>0.0</c:formatCode>
                <c:ptCount val="5"/>
                <c:pt idx="0">
                  <c:v>7.6865129131988379</c:v>
                </c:pt>
                <c:pt idx="1">
                  <c:v>13.177670923822522</c:v>
                </c:pt>
                <c:pt idx="2">
                  <c:v>18.743180503750096</c:v>
                </c:pt>
                <c:pt idx="3">
                  <c:v>20.521177063157094</c:v>
                </c:pt>
                <c:pt idx="4">
                  <c:v>39.871458596071456</c:v>
                </c:pt>
              </c:numCache>
            </c:numRef>
          </c:val>
          <c:extLst xmlns:c16r2="http://schemas.microsoft.com/office/drawing/2015/06/chart">
            <c:ext xmlns:c16="http://schemas.microsoft.com/office/drawing/2014/chart" uri="{C3380CC4-5D6E-409C-BE32-E72D297353CC}">
              <c16:uniqueId val="{00000000-C205-469F-93AE-0D767B908AA8}"/>
            </c:ext>
          </c:extLst>
        </c:ser>
        <c:ser>
          <c:idx val="1"/>
          <c:order val="1"/>
          <c:tx>
            <c:strRef>
              <c:f>Tavole!$C$86</c:f>
              <c:strCache>
                <c:ptCount val="1"/>
                <c:pt idx="0">
                  <c:v>2019</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Tavole!$A$87:$A$91</c:f>
              <c:strCache>
                <c:ptCount val="5"/>
                <c:pt idx="0">
                  <c:v>Province piccole</c:v>
                </c:pt>
                <c:pt idx="1">
                  <c:v>Province medio piccole</c:v>
                </c:pt>
                <c:pt idx="2">
                  <c:v>Province medio grandi</c:v>
                </c:pt>
                <c:pt idx="3">
                  <c:v>Province grandi</c:v>
                </c:pt>
                <c:pt idx="4">
                  <c:v>Città metropolitane</c:v>
                </c:pt>
              </c:strCache>
            </c:strRef>
          </c:cat>
          <c:val>
            <c:numRef>
              <c:f>Tavole!$C$87:$C$91</c:f>
              <c:numCache>
                <c:formatCode>0.0</c:formatCode>
                <c:ptCount val="5"/>
                <c:pt idx="0">
                  <c:v>7.1442941074734811</c:v>
                </c:pt>
                <c:pt idx="1">
                  <c:v>12.588864227607804</c:v>
                </c:pt>
                <c:pt idx="2">
                  <c:v>18.716907295480016</c:v>
                </c:pt>
                <c:pt idx="3">
                  <c:v>20.531119529185734</c:v>
                </c:pt>
                <c:pt idx="4">
                  <c:v>41.018814840252958</c:v>
                </c:pt>
              </c:numCache>
            </c:numRef>
          </c:val>
          <c:extLst xmlns:c16r2="http://schemas.microsoft.com/office/drawing/2015/06/chart">
            <c:ext xmlns:c16="http://schemas.microsoft.com/office/drawing/2014/chart" uri="{C3380CC4-5D6E-409C-BE32-E72D297353CC}">
              <c16:uniqueId val="{00000001-C205-469F-93AE-0D767B908AA8}"/>
            </c:ext>
          </c:extLst>
        </c:ser>
        <c:ser>
          <c:idx val="2"/>
          <c:order val="2"/>
          <c:tx>
            <c:strRef>
              <c:f>Tavole!$D$86</c:f>
              <c:strCache>
                <c:ptCount val="1"/>
                <c:pt idx="0">
                  <c:v>2020</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Tavole!$A$87:$A$91</c:f>
              <c:strCache>
                <c:ptCount val="5"/>
                <c:pt idx="0">
                  <c:v>Province piccole</c:v>
                </c:pt>
                <c:pt idx="1">
                  <c:v>Province medio piccole</c:v>
                </c:pt>
                <c:pt idx="2">
                  <c:v>Province medio grandi</c:v>
                </c:pt>
                <c:pt idx="3">
                  <c:v>Province grandi</c:v>
                </c:pt>
                <c:pt idx="4">
                  <c:v>Città metropolitane</c:v>
                </c:pt>
              </c:strCache>
            </c:strRef>
          </c:cat>
          <c:val>
            <c:numRef>
              <c:f>Tavole!$D$87:$D$91</c:f>
              <c:numCache>
                <c:formatCode>0.0</c:formatCode>
                <c:ptCount val="5"/>
                <c:pt idx="0">
                  <c:v>7.1223916662217199</c:v>
                </c:pt>
                <c:pt idx="1">
                  <c:v>12.591857222928374</c:v>
                </c:pt>
                <c:pt idx="2">
                  <c:v>18.628669205564911</c:v>
                </c:pt>
                <c:pt idx="3">
                  <c:v>20.484587468834047</c:v>
                </c:pt>
                <c:pt idx="4">
                  <c:v>41.172494436450954</c:v>
                </c:pt>
              </c:numCache>
            </c:numRef>
          </c:val>
          <c:extLst xmlns:c16r2="http://schemas.microsoft.com/office/drawing/2015/06/chart">
            <c:ext xmlns:c16="http://schemas.microsoft.com/office/drawing/2014/chart" uri="{C3380CC4-5D6E-409C-BE32-E72D297353CC}">
              <c16:uniqueId val="{00000002-C205-469F-93AE-0D767B908AA8}"/>
            </c:ext>
          </c:extLst>
        </c:ser>
        <c:ser>
          <c:idx val="3"/>
          <c:order val="3"/>
          <c:tx>
            <c:strRef>
              <c:f>Tavole!$E$86</c:f>
              <c:strCache>
                <c:ptCount val="1"/>
                <c:pt idx="0">
                  <c:v>2021</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Tavole!$A$87:$A$91</c:f>
              <c:strCache>
                <c:ptCount val="5"/>
                <c:pt idx="0">
                  <c:v>Province piccole</c:v>
                </c:pt>
                <c:pt idx="1">
                  <c:v>Province medio piccole</c:v>
                </c:pt>
                <c:pt idx="2">
                  <c:v>Province medio grandi</c:v>
                </c:pt>
                <c:pt idx="3">
                  <c:v>Province grandi</c:v>
                </c:pt>
                <c:pt idx="4">
                  <c:v>Città metropolitane</c:v>
                </c:pt>
              </c:strCache>
            </c:strRef>
          </c:cat>
          <c:val>
            <c:numRef>
              <c:f>Tavole!$E$87:$E$91</c:f>
              <c:numCache>
                <c:formatCode>0.0</c:formatCode>
                <c:ptCount val="5"/>
                <c:pt idx="0">
                  <c:v>7.1376956200602555</c:v>
                </c:pt>
                <c:pt idx="1">
                  <c:v>12.596437094830067</c:v>
                </c:pt>
                <c:pt idx="2">
                  <c:v>18.667579884553199</c:v>
                </c:pt>
                <c:pt idx="3">
                  <c:v>20.641601040461012</c:v>
                </c:pt>
                <c:pt idx="4">
                  <c:v>40.956686360095453</c:v>
                </c:pt>
              </c:numCache>
            </c:numRef>
          </c:val>
          <c:extLst xmlns:c16r2="http://schemas.microsoft.com/office/drawing/2015/06/chart">
            <c:ext xmlns:c16="http://schemas.microsoft.com/office/drawing/2014/chart" uri="{C3380CC4-5D6E-409C-BE32-E72D297353CC}">
              <c16:uniqueId val="{00000003-C205-469F-93AE-0D767B908AA8}"/>
            </c:ext>
          </c:extLst>
        </c:ser>
        <c:dLbls>
          <c:showLegendKey val="0"/>
          <c:showVal val="0"/>
          <c:showCatName val="0"/>
          <c:showSerName val="0"/>
          <c:showPercent val="0"/>
          <c:showBubbleSize val="0"/>
        </c:dLbls>
        <c:gapWidth val="219"/>
        <c:overlap val="-27"/>
        <c:axId val="227511296"/>
        <c:axId val="333342400"/>
      </c:barChart>
      <c:catAx>
        <c:axId val="227511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333342400"/>
        <c:crosses val="autoZero"/>
        <c:auto val="1"/>
        <c:lblAlgn val="ctr"/>
        <c:lblOffset val="100"/>
        <c:noMultiLvlLbl val="0"/>
      </c:catAx>
      <c:valAx>
        <c:axId val="3333424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2751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Tavole!$B$40</c:f>
              <c:strCache>
                <c:ptCount val="1"/>
                <c:pt idx="0">
                  <c:v>Variazione percentuale 2020/2021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Tavole!$A$41:$A$46</c:f>
              <c:strCache>
                <c:ptCount val="6"/>
                <c:pt idx="0">
                  <c:v>Province piccole</c:v>
                </c:pt>
                <c:pt idx="1">
                  <c:v>Province medio piccole</c:v>
                </c:pt>
                <c:pt idx="2">
                  <c:v>Province medio grandi</c:v>
                </c:pt>
                <c:pt idx="3">
                  <c:v>Province grandi</c:v>
                </c:pt>
                <c:pt idx="4">
                  <c:v>Città metropolitane</c:v>
                </c:pt>
                <c:pt idx="5">
                  <c:v>Totale</c:v>
                </c:pt>
              </c:strCache>
            </c:strRef>
          </c:cat>
          <c:val>
            <c:numRef>
              <c:f>Tavole!$B$41:$B$46</c:f>
              <c:numCache>
                <c:formatCode>#,##0.0</c:formatCode>
                <c:ptCount val="6"/>
                <c:pt idx="0">
                  <c:v>6.3763930166934983</c:v>
                </c:pt>
                <c:pt idx="1">
                  <c:v>6.1869190244635774</c:v>
                </c:pt>
                <c:pt idx="2">
                  <c:v>6.3700286324735345</c:v>
                </c:pt>
                <c:pt idx="3">
                  <c:v>6.9619337884704464</c:v>
                </c:pt>
                <c:pt idx="4">
                  <c:v>5.5919284038788533</c:v>
                </c:pt>
                <c:pt idx="5">
                  <c:v>6.1483110845273359</c:v>
                </c:pt>
              </c:numCache>
            </c:numRef>
          </c:val>
          <c:extLst xmlns:c16r2="http://schemas.microsoft.com/office/drawing/2015/06/chart">
            <c:ext xmlns:c16="http://schemas.microsoft.com/office/drawing/2014/chart" uri="{C3380CC4-5D6E-409C-BE32-E72D297353CC}">
              <c16:uniqueId val="{00000000-8443-4E32-9DFD-F7392097A779}"/>
            </c:ext>
          </c:extLst>
        </c:ser>
        <c:ser>
          <c:idx val="1"/>
          <c:order val="1"/>
          <c:tx>
            <c:strRef>
              <c:f>Tavole!$C$40</c:f>
              <c:strCache>
                <c:ptCount val="1"/>
                <c:pt idx="0">
                  <c:v>Variazione percentuale 2019/2021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Tavole!$A$41:$A$46</c:f>
              <c:strCache>
                <c:ptCount val="6"/>
                <c:pt idx="0">
                  <c:v>Province piccole</c:v>
                </c:pt>
                <c:pt idx="1">
                  <c:v>Province medio piccole</c:v>
                </c:pt>
                <c:pt idx="2">
                  <c:v>Province medio grandi</c:v>
                </c:pt>
                <c:pt idx="3">
                  <c:v>Province grandi</c:v>
                </c:pt>
                <c:pt idx="4">
                  <c:v>Città metropolitane</c:v>
                </c:pt>
                <c:pt idx="5">
                  <c:v>Totale</c:v>
                </c:pt>
              </c:strCache>
            </c:strRef>
          </c:cat>
          <c:val>
            <c:numRef>
              <c:f>Tavole!$C$41:$C$46</c:f>
              <c:numCache>
                <c:formatCode>#,##0.0</c:formatCode>
                <c:ptCount val="6"/>
                <c:pt idx="0">
                  <c:v>-1.2610052258773266</c:v>
                </c:pt>
                <c:pt idx="1">
                  <c:v>-1.1102737099221827</c:v>
                </c:pt>
                <c:pt idx="2">
                  <c:v>-1.43018726166801</c:v>
                </c:pt>
                <c:pt idx="3">
                  <c:v>-0.63790251322303959</c:v>
                </c:pt>
                <c:pt idx="4">
                  <c:v>-1.3194170105027752</c:v>
                </c:pt>
                <c:pt idx="5">
                  <c:v>-1.1697253438408239</c:v>
                </c:pt>
              </c:numCache>
            </c:numRef>
          </c:val>
          <c:extLst xmlns:c16r2="http://schemas.microsoft.com/office/drawing/2015/06/chart">
            <c:ext xmlns:c16="http://schemas.microsoft.com/office/drawing/2014/chart" uri="{C3380CC4-5D6E-409C-BE32-E72D297353CC}">
              <c16:uniqueId val="{00000001-8443-4E32-9DFD-F7392097A779}"/>
            </c:ext>
          </c:extLst>
        </c:ser>
        <c:dLbls>
          <c:showLegendKey val="0"/>
          <c:showVal val="0"/>
          <c:showCatName val="0"/>
          <c:showSerName val="0"/>
          <c:showPercent val="0"/>
          <c:showBubbleSize val="0"/>
        </c:dLbls>
        <c:gapWidth val="219"/>
        <c:overlap val="-27"/>
        <c:axId val="227511808"/>
        <c:axId val="333344128"/>
      </c:barChart>
      <c:catAx>
        <c:axId val="227511808"/>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333344128"/>
        <c:crosses val="autoZero"/>
        <c:auto val="1"/>
        <c:lblAlgn val="ctr"/>
        <c:lblOffset val="100"/>
        <c:noMultiLvlLbl val="0"/>
      </c:catAx>
      <c:valAx>
        <c:axId val="3333441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27511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Tavole!$A$110</c:f>
              <c:strCache>
                <c:ptCount val="1"/>
                <c:pt idx="0">
                  <c:v>Province marine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Tavole!$B$109:$D$109</c:f>
              <c:strCache>
                <c:ptCount val="3"/>
                <c:pt idx="0">
                  <c:v>2019/2020</c:v>
                </c:pt>
                <c:pt idx="1">
                  <c:v>2020/2021</c:v>
                </c:pt>
                <c:pt idx="2">
                  <c:v>2019/2021</c:v>
                </c:pt>
              </c:strCache>
            </c:strRef>
          </c:cat>
          <c:val>
            <c:numRef>
              <c:f>Tavole!$B$110:$D$110</c:f>
              <c:numCache>
                <c:formatCode>#,##0.0</c:formatCode>
                <c:ptCount val="3"/>
                <c:pt idx="0">
                  <c:v>-6.1262875835143831</c:v>
                </c:pt>
                <c:pt idx="1">
                  <c:v>5.7699129991607236</c:v>
                </c:pt>
                <c:pt idx="2">
                  <c:v>-0.70985604800084445</c:v>
                </c:pt>
              </c:numCache>
            </c:numRef>
          </c:val>
          <c:extLst xmlns:c16r2="http://schemas.microsoft.com/office/drawing/2015/06/chart">
            <c:ext xmlns:c16="http://schemas.microsoft.com/office/drawing/2014/chart" uri="{C3380CC4-5D6E-409C-BE32-E72D297353CC}">
              <c16:uniqueId val="{00000000-AE28-4838-BFFC-743C33EC5868}"/>
            </c:ext>
          </c:extLst>
        </c:ser>
        <c:ser>
          <c:idx val="1"/>
          <c:order val="1"/>
          <c:tx>
            <c:strRef>
              <c:f>Tavole!$A$111</c:f>
              <c:strCache>
                <c:ptCount val="1"/>
                <c:pt idx="0">
                  <c:v>Province non marine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Tavole!$B$109:$D$109</c:f>
              <c:strCache>
                <c:ptCount val="3"/>
                <c:pt idx="0">
                  <c:v>2019/2020</c:v>
                </c:pt>
                <c:pt idx="1">
                  <c:v>2020/2021</c:v>
                </c:pt>
                <c:pt idx="2">
                  <c:v>2019/2021</c:v>
                </c:pt>
              </c:strCache>
            </c:strRef>
          </c:cat>
          <c:val>
            <c:numRef>
              <c:f>Tavole!$B$111:$D$111</c:f>
              <c:numCache>
                <c:formatCode>#,##0.0</c:formatCode>
                <c:ptCount val="3"/>
                <c:pt idx="0">
                  <c:v>-7.2980373253704016</c:v>
                </c:pt>
                <c:pt idx="1">
                  <c:v>6.3498510912026234</c:v>
                </c:pt>
                <c:pt idx="2">
                  <c:v>-1.4116007369091648</c:v>
                </c:pt>
              </c:numCache>
            </c:numRef>
          </c:val>
          <c:extLst xmlns:c16r2="http://schemas.microsoft.com/office/drawing/2015/06/chart">
            <c:ext xmlns:c16="http://schemas.microsoft.com/office/drawing/2014/chart" uri="{C3380CC4-5D6E-409C-BE32-E72D297353CC}">
              <c16:uniqueId val="{00000001-AE28-4838-BFFC-743C33EC5868}"/>
            </c:ext>
          </c:extLst>
        </c:ser>
        <c:ser>
          <c:idx val="2"/>
          <c:order val="2"/>
          <c:tx>
            <c:strRef>
              <c:f>Tavole!$A$112</c:f>
              <c:strCache>
                <c:ptCount val="1"/>
                <c:pt idx="0">
                  <c:v>Totale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Tavole!$B$109:$D$109</c:f>
              <c:strCache>
                <c:ptCount val="3"/>
                <c:pt idx="0">
                  <c:v>2019/2020</c:v>
                </c:pt>
                <c:pt idx="1">
                  <c:v>2020/2021</c:v>
                </c:pt>
                <c:pt idx="2">
                  <c:v>2019/2021</c:v>
                </c:pt>
              </c:strCache>
            </c:strRef>
          </c:cat>
          <c:val>
            <c:numRef>
              <c:f>Tavole!$B$112:$D$112</c:f>
              <c:numCache>
                <c:formatCode>#,##0.0</c:formatCode>
                <c:ptCount val="3"/>
                <c:pt idx="0">
                  <c:v>-6.8941619076168905</c:v>
                </c:pt>
                <c:pt idx="1">
                  <c:v>6.1483110845273359</c:v>
                </c:pt>
                <c:pt idx="2">
                  <c:v>-1.1697253438408239</c:v>
                </c:pt>
              </c:numCache>
            </c:numRef>
          </c:val>
          <c:extLst xmlns:c16r2="http://schemas.microsoft.com/office/drawing/2015/06/chart">
            <c:ext xmlns:c16="http://schemas.microsoft.com/office/drawing/2014/chart" uri="{C3380CC4-5D6E-409C-BE32-E72D297353CC}">
              <c16:uniqueId val="{00000002-AE28-4838-BFFC-743C33EC5868}"/>
            </c:ext>
          </c:extLst>
        </c:ser>
        <c:dLbls>
          <c:showLegendKey val="0"/>
          <c:showVal val="0"/>
          <c:showCatName val="0"/>
          <c:showSerName val="0"/>
          <c:showPercent val="0"/>
          <c:showBubbleSize val="0"/>
        </c:dLbls>
        <c:gapWidth val="219"/>
        <c:overlap val="-27"/>
        <c:axId val="234192384"/>
        <c:axId val="333345856"/>
      </c:barChart>
      <c:catAx>
        <c:axId val="234192384"/>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333345856"/>
        <c:crosses val="autoZero"/>
        <c:auto val="0"/>
        <c:lblAlgn val="ctr"/>
        <c:lblOffset val="100"/>
        <c:noMultiLvlLbl val="0"/>
      </c:catAx>
      <c:valAx>
        <c:axId val="3333458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34192384"/>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1">
    <c:autoUpdate val="0"/>
  </c:externalData>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0F865-F8E0-4046-B5D1-24A22A4EF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5816</Words>
  <Characters>33154</Characters>
  <Application>Microsoft Office Word</Application>
  <DocSecurity>0</DocSecurity>
  <Lines>276</Lines>
  <Paragraphs>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Giacomo Giusti</dc:creator>
  <cp:lastModifiedBy>renato de iuliis</cp:lastModifiedBy>
  <cp:revision>2</cp:revision>
  <cp:lastPrinted>2022-09-08T15:27:00Z</cp:lastPrinted>
  <dcterms:created xsi:type="dcterms:W3CDTF">2022-09-17T18:04:00Z</dcterms:created>
  <dcterms:modified xsi:type="dcterms:W3CDTF">2022-09-17T18:04:00Z</dcterms:modified>
</cp:coreProperties>
</file>